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80FB46">
      <w:pPr>
        <w:jc w:val="center"/>
        <w:rPr>
          <w:rFonts w:hint="eastAsia" w:ascii="仿宋" w:hAnsi="仿宋" w:eastAsia="仿宋" w:cs="仿宋"/>
          <w:b/>
          <w:bCs/>
          <w:sz w:val="28"/>
          <w:szCs w:val="28"/>
        </w:rPr>
      </w:pPr>
      <w:r>
        <w:rPr>
          <w:rFonts w:ascii="仿宋" w:hAnsi="仿宋" w:eastAsia="仿宋" w:cs="仿宋"/>
          <w:b/>
          <w:bCs/>
          <w:sz w:val="28"/>
          <w:szCs w:val="28"/>
        </w:rPr>
        <w:t>国际金融贸易学院优秀应届本科毕业生直接攻读</w:t>
      </w:r>
    </w:p>
    <w:p w14:paraId="425B266A">
      <w:pPr>
        <w:jc w:val="center"/>
      </w:pPr>
      <w:r>
        <w:rPr>
          <w:rFonts w:ascii="仿宋" w:hAnsi="仿宋" w:eastAsia="仿宋" w:cs="仿宋"/>
          <w:b/>
          <w:bCs/>
          <w:sz w:val="28"/>
          <w:szCs w:val="28"/>
        </w:rPr>
        <w:t>博士学位研究生招生实施细则</w:t>
      </w:r>
    </w:p>
    <w:p w14:paraId="49FCD2AD">
      <w:pPr>
        <w:jc w:val="center"/>
      </w:pPr>
      <w:r>
        <w:rPr>
          <w:rFonts w:ascii="仿宋" w:hAnsi="仿宋" w:eastAsia="仿宋" w:cs="仿宋"/>
          <w:b/>
          <w:bCs/>
          <w:sz w:val="28"/>
          <w:szCs w:val="28"/>
        </w:rPr>
        <w:t>第一章 总则</w:t>
      </w:r>
    </w:p>
    <w:p w14:paraId="44A88D5F">
      <w:pPr>
        <w:ind w:firstLine="560"/>
      </w:pPr>
      <w:r>
        <w:rPr>
          <w:rFonts w:ascii="仿宋" w:hAnsi="仿宋" w:eastAsia="仿宋" w:cs="仿宋"/>
          <w:sz w:val="28"/>
          <w:szCs w:val="28"/>
        </w:rPr>
        <w:t>第一条 为做好我院直接攻读博士学位研究生（以下简称“直博生”）的招生工作，根据《上海外国语大学优秀应届本科毕业生直接攻读博士学位研究生实施办法（试行）》（上外研〔2022〕1号）及相关文件精神，结合我院</w:t>
      </w:r>
      <w:r>
        <w:rPr>
          <w:rFonts w:hint="eastAsia" w:ascii="仿宋" w:hAnsi="仿宋" w:eastAsia="仿宋" w:cs="仿宋"/>
          <w:sz w:val="28"/>
          <w:szCs w:val="28"/>
        </w:rPr>
        <w:t>在</w:t>
      </w:r>
      <w:r>
        <w:rPr>
          <w:rFonts w:ascii="仿宋" w:hAnsi="仿宋" w:eastAsia="仿宋" w:cs="仿宋"/>
          <w:sz w:val="28"/>
          <w:szCs w:val="28"/>
        </w:rPr>
        <w:t>应用经济学</w:t>
      </w:r>
      <w:r>
        <w:rPr>
          <w:rFonts w:hint="eastAsia" w:ascii="仿宋" w:hAnsi="仿宋" w:eastAsia="仿宋" w:cs="仿宋"/>
          <w:sz w:val="28"/>
          <w:szCs w:val="28"/>
        </w:rPr>
        <w:t>、政治学和全球治理科学等交叉学科</w:t>
      </w:r>
      <w:r>
        <w:rPr>
          <w:rFonts w:ascii="仿宋" w:hAnsi="仿宋" w:eastAsia="仿宋" w:cs="仿宋"/>
          <w:sz w:val="28"/>
          <w:szCs w:val="28"/>
        </w:rPr>
        <w:t>人才</w:t>
      </w:r>
      <w:r>
        <w:rPr>
          <w:rFonts w:hint="eastAsia" w:ascii="仿宋" w:hAnsi="仿宋" w:eastAsia="仿宋" w:cs="仿宋"/>
          <w:sz w:val="28"/>
          <w:szCs w:val="28"/>
        </w:rPr>
        <w:t>方面的</w:t>
      </w:r>
      <w:r>
        <w:rPr>
          <w:rFonts w:ascii="仿宋" w:hAnsi="仿宋" w:eastAsia="仿宋" w:cs="仿宋"/>
          <w:sz w:val="28"/>
          <w:szCs w:val="28"/>
        </w:rPr>
        <w:t>培养</w:t>
      </w:r>
      <w:r>
        <w:rPr>
          <w:rFonts w:hint="eastAsia" w:ascii="仿宋" w:hAnsi="仿宋" w:eastAsia="仿宋" w:cs="仿宋"/>
          <w:sz w:val="28"/>
          <w:szCs w:val="28"/>
        </w:rPr>
        <w:t>目标</w:t>
      </w:r>
      <w:r>
        <w:rPr>
          <w:rFonts w:ascii="仿宋" w:hAnsi="仿宋" w:eastAsia="仿宋" w:cs="仿宋"/>
          <w:sz w:val="28"/>
          <w:szCs w:val="28"/>
        </w:rPr>
        <w:t>，制定本实施细则。</w:t>
      </w:r>
    </w:p>
    <w:p w14:paraId="14C5B154">
      <w:pPr>
        <w:ind w:firstLine="560"/>
      </w:pPr>
      <w:r>
        <w:rPr>
          <w:rFonts w:ascii="仿宋" w:hAnsi="仿宋" w:eastAsia="仿宋" w:cs="仿宋"/>
          <w:sz w:val="28"/>
          <w:szCs w:val="28"/>
        </w:rPr>
        <w:t>第二条 直博生招生指从校内外获得推荐免试资格的优秀应届本科毕业生中，选拔具备博士阶段学习潜力的学生，直接攻读博士学位。</w:t>
      </w:r>
    </w:p>
    <w:p w14:paraId="2E0D85FA">
      <w:pPr>
        <w:ind w:firstLine="560"/>
      </w:pPr>
      <w:r>
        <w:rPr>
          <w:rFonts w:ascii="仿宋" w:hAnsi="仿宋" w:eastAsia="仿宋" w:cs="仿宋"/>
          <w:sz w:val="28"/>
          <w:szCs w:val="28"/>
        </w:rPr>
        <w:t>第三条 直博生选拔遵循公平、公正、公开原则，把科研创新能力作为首要考量因素，注重考核创新精神、科研能力和培养潜质。</w:t>
      </w:r>
    </w:p>
    <w:p w14:paraId="1EED254B">
      <w:pPr>
        <w:jc w:val="center"/>
      </w:pPr>
      <w:r>
        <w:rPr>
          <w:rFonts w:ascii="仿宋" w:hAnsi="仿宋" w:eastAsia="仿宋" w:cs="仿宋"/>
          <w:b/>
          <w:bCs/>
          <w:sz w:val="28"/>
          <w:szCs w:val="28"/>
        </w:rPr>
        <w:t>第二章 组织管理</w:t>
      </w:r>
    </w:p>
    <w:p w14:paraId="388BEEC4">
      <w:pPr>
        <w:ind w:firstLine="560"/>
      </w:pPr>
      <w:r>
        <w:rPr>
          <w:rFonts w:ascii="仿宋" w:hAnsi="仿宋" w:eastAsia="仿宋" w:cs="仿宋"/>
          <w:sz w:val="28"/>
          <w:szCs w:val="28"/>
        </w:rPr>
        <w:t>第四条 学院成立直博生招生工作小组，负责本学院直博生招生的组织与实施。工作小组由学院</w:t>
      </w:r>
      <w:r>
        <w:rPr>
          <w:rFonts w:hint="eastAsia" w:ascii="仿宋" w:hAnsi="仿宋" w:eastAsia="仿宋" w:cs="仿宋"/>
          <w:sz w:val="28"/>
          <w:szCs w:val="28"/>
        </w:rPr>
        <w:t>学位评定分委员会指定</w:t>
      </w:r>
      <w:r>
        <w:rPr>
          <w:rFonts w:ascii="仿宋" w:hAnsi="仿宋" w:eastAsia="仿宋" w:cs="仿宋"/>
          <w:sz w:val="28"/>
          <w:szCs w:val="28"/>
        </w:rPr>
        <w:t>。</w:t>
      </w:r>
    </w:p>
    <w:p w14:paraId="70065DB5">
      <w:pPr>
        <w:ind w:firstLine="560"/>
      </w:pPr>
      <w:r>
        <w:rPr>
          <w:rFonts w:ascii="仿宋" w:hAnsi="仿宋" w:eastAsia="仿宋" w:cs="仿宋"/>
          <w:sz w:val="28"/>
          <w:szCs w:val="28"/>
        </w:rPr>
        <w:t>第五条 学院直博生招生</w:t>
      </w:r>
      <w:r>
        <w:rPr>
          <w:rFonts w:hint="eastAsia" w:ascii="仿宋" w:hAnsi="仿宋" w:eastAsia="仿宋" w:cs="仿宋"/>
          <w:sz w:val="28"/>
          <w:szCs w:val="28"/>
        </w:rPr>
        <w:t>实施细则须综合考虑学生思想道德品质、学业成绩、专业培养潜质、科研创新能力等</w:t>
      </w:r>
      <w:r>
        <w:rPr>
          <w:rFonts w:ascii="仿宋" w:hAnsi="仿宋" w:eastAsia="仿宋" w:cs="仿宋"/>
          <w:sz w:val="28"/>
          <w:szCs w:val="28"/>
        </w:rPr>
        <w:t>。</w:t>
      </w:r>
    </w:p>
    <w:p w14:paraId="1BA09659">
      <w:pPr>
        <w:ind w:firstLine="560"/>
      </w:pPr>
      <w:r>
        <w:rPr>
          <w:rFonts w:ascii="仿宋" w:hAnsi="仿宋" w:eastAsia="仿宋" w:cs="仿宋"/>
          <w:sz w:val="28"/>
          <w:szCs w:val="28"/>
        </w:rPr>
        <w:t>第六条 直博生招生名额占用学院博士研究生招生总指标。学院统筹直博、硕博连读、“申请—考核”制的招生比例，直博生名额比例按学校有关规定执行。</w:t>
      </w:r>
    </w:p>
    <w:p w14:paraId="6B365BA5">
      <w:pPr>
        <w:jc w:val="center"/>
      </w:pPr>
      <w:r>
        <w:rPr>
          <w:rFonts w:ascii="仿宋" w:hAnsi="仿宋" w:eastAsia="仿宋" w:cs="仿宋"/>
          <w:b/>
          <w:bCs/>
          <w:sz w:val="28"/>
          <w:szCs w:val="28"/>
        </w:rPr>
        <w:t>第三章 申请条件</w:t>
      </w:r>
    </w:p>
    <w:p w14:paraId="0F757774">
      <w:pPr>
        <w:ind w:firstLine="560"/>
      </w:pPr>
      <w:r>
        <w:rPr>
          <w:rFonts w:ascii="仿宋" w:hAnsi="仿宋" w:eastAsia="仿宋" w:cs="仿宋"/>
          <w:sz w:val="28"/>
          <w:szCs w:val="28"/>
        </w:rPr>
        <w:t>第七条 申请者须同时符合下列条件：</w:t>
      </w:r>
    </w:p>
    <w:p w14:paraId="6708594A">
      <w:pPr>
        <w:ind w:firstLine="560"/>
      </w:pPr>
      <w:r>
        <w:rPr>
          <w:rFonts w:ascii="仿宋" w:hAnsi="仿宋" w:eastAsia="仿宋" w:cs="仿宋"/>
          <w:sz w:val="28"/>
          <w:szCs w:val="28"/>
        </w:rPr>
        <w:t>1. 中华人民共和国公民，拥护中国共产党的领导，品德良好，遵纪守法，学风端正；</w:t>
      </w:r>
    </w:p>
    <w:p w14:paraId="4CA4A1A9">
      <w:pPr>
        <w:ind w:firstLine="560"/>
      </w:pPr>
      <w:r>
        <w:rPr>
          <w:rFonts w:ascii="仿宋" w:hAnsi="仿宋" w:eastAsia="仿宋" w:cs="仿宋"/>
          <w:sz w:val="28"/>
          <w:szCs w:val="28"/>
        </w:rPr>
        <w:t>2. 身心健康，符合教育部规定的体检要求；</w:t>
      </w:r>
    </w:p>
    <w:p w14:paraId="3174A34D">
      <w:pPr>
        <w:ind w:firstLine="560"/>
        <w:rPr>
          <w:rFonts w:hint="eastAsia"/>
          <w:highlight w:val="none"/>
        </w:rPr>
      </w:pPr>
      <w:r>
        <w:rPr>
          <w:rFonts w:ascii="仿宋" w:hAnsi="仿宋" w:eastAsia="仿宋" w:cs="仿宋"/>
          <w:sz w:val="28"/>
          <w:szCs w:val="28"/>
        </w:rPr>
        <w:t>3.</w:t>
      </w:r>
      <w:r>
        <w:rPr>
          <w:rFonts w:hint="eastAsia" w:ascii="仿宋" w:hAnsi="仿宋" w:eastAsia="仿宋" w:cs="仿宋"/>
          <w:sz w:val="28"/>
          <w:szCs w:val="28"/>
        </w:rPr>
        <w:t xml:space="preserve"> </w:t>
      </w:r>
      <w:r>
        <w:rPr>
          <w:rFonts w:ascii="仿宋" w:hAnsi="仿宋" w:eastAsia="仿宋" w:cs="仿宋"/>
          <w:sz w:val="28"/>
          <w:szCs w:val="28"/>
        </w:rPr>
        <w:t>获得</w:t>
      </w:r>
      <w:r>
        <w:rPr>
          <w:rFonts w:hint="eastAsia" w:ascii="仿宋" w:hAnsi="仿宋" w:eastAsia="仿宋" w:cs="仿宋"/>
          <w:sz w:val="28"/>
          <w:szCs w:val="28"/>
        </w:rPr>
        <w:t>就读学校</w:t>
      </w:r>
      <w:r>
        <w:rPr>
          <w:rFonts w:ascii="仿宋" w:hAnsi="仿宋" w:eastAsia="仿宋" w:cs="仿宋"/>
          <w:sz w:val="28"/>
          <w:szCs w:val="28"/>
        </w:rPr>
        <w:t>推荐免试</w:t>
      </w:r>
      <w:r>
        <w:rPr>
          <w:rFonts w:hint="eastAsia" w:ascii="仿宋" w:hAnsi="仿宋" w:eastAsia="仿宋" w:cs="仿宋"/>
          <w:sz w:val="28"/>
          <w:szCs w:val="28"/>
        </w:rPr>
        <w:t>攻读硕士研究生资格</w:t>
      </w:r>
      <w:r>
        <w:rPr>
          <w:rFonts w:ascii="仿宋" w:hAnsi="仿宋" w:eastAsia="仿宋" w:cs="仿宋"/>
          <w:sz w:val="28"/>
          <w:szCs w:val="28"/>
        </w:rPr>
        <w:t>及名额的</w:t>
      </w:r>
      <w:r>
        <w:rPr>
          <w:rFonts w:hint="eastAsia" w:ascii="仿宋" w:hAnsi="仿宋" w:eastAsia="仿宋" w:cs="仿宋"/>
          <w:sz w:val="28"/>
          <w:szCs w:val="28"/>
        </w:rPr>
        <w:t>优秀</w:t>
      </w:r>
      <w:r>
        <w:rPr>
          <w:rFonts w:ascii="仿宋" w:hAnsi="仿宋" w:eastAsia="仿宋" w:cs="仿宋"/>
          <w:sz w:val="28"/>
          <w:szCs w:val="28"/>
        </w:rPr>
        <w:t>应届本科毕业</w:t>
      </w:r>
      <w:r>
        <w:rPr>
          <w:rFonts w:ascii="仿宋" w:hAnsi="仿宋" w:eastAsia="仿宋" w:cs="仿宋"/>
          <w:sz w:val="28"/>
          <w:szCs w:val="28"/>
          <w:highlight w:val="none"/>
        </w:rPr>
        <w:t>生，具备良好的学术科研潜力和博士研究生培养潜质；</w:t>
      </w:r>
    </w:p>
    <w:p w14:paraId="70DF0FAF">
      <w:pPr>
        <w:ind w:firstLine="560"/>
        <w:rPr>
          <w:rFonts w:ascii="仿宋" w:hAnsi="仿宋" w:eastAsia="仿宋" w:cs="仿宋"/>
          <w:sz w:val="28"/>
          <w:szCs w:val="28"/>
          <w:highlight w:val="none"/>
        </w:rPr>
      </w:pPr>
      <w:r>
        <w:rPr>
          <w:rFonts w:hint="eastAsia" w:ascii="仿宋" w:hAnsi="仿宋" w:eastAsia="仿宋" w:cs="仿宋"/>
          <w:sz w:val="28"/>
          <w:szCs w:val="28"/>
          <w:highlight w:val="none"/>
        </w:rPr>
        <w:t>4</w:t>
      </w:r>
      <w:r>
        <w:rPr>
          <w:rFonts w:ascii="仿宋" w:hAnsi="仿宋" w:eastAsia="仿宋" w:cs="仿宋"/>
          <w:sz w:val="28"/>
          <w:szCs w:val="28"/>
          <w:highlight w:val="none"/>
        </w:rPr>
        <w:t>. 具备较强的</w:t>
      </w:r>
      <w:r>
        <w:rPr>
          <w:rFonts w:hint="eastAsia" w:ascii="仿宋" w:hAnsi="仿宋" w:eastAsia="仿宋" w:cs="仿宋"/>
          <w:sz w:val="28"/>
          <w:szCs w:val="28"/>
          <w:highlight w:val="none"/>
        </w:rPr>
        <w:t>英</w:t>
      </w:r>
      <w:r>
        <w:rPr>
          <w:rFonts w:ascii="仿宋" w:hAnsi="仿宋" w:eastAsia="仿宋" w:cs="仿宋"/>
          <w:sz w:val="28"/>
          <w:szCs w:val="28"/>
          <w:highlight w:val="none"/>
        </w:rPr>
        <w:t>语应用能力，能够熟练阅读本专业</w:t>
      </w:r>
      <w:r>
        <w:rPr>
          <w:rFonts w:hint="eastAsia" w:ascii="仿宋" w:hAnsi="仿宋" w:eastAsia="仿宋" w:cs="仿宋"/>
          <w:sz w:val="28"/>
          <w:szCs w:val="28"/>
          <w:highlight w:val="none"/>
        </w:rPr>
        <w:t>英文</w:t>
      </w:r>
      <w:r>
        <w:rPr>
          <w:rFonts w:ascii="仿宋" w:hAnsi="仿宋" w:eastAsia="仿宋" w:cs="仿宋"/>
          <w:sz w:val="28"/>
          <w:szCs w:val="28"/>
          <w:highlight w:val="none"/>
        </w:rPr>
        <w:t>文献并开展国际学术交流。英语水平原则上应达到以下条件之一：</w:t>
      </w:r>
      <w:r>
        <w:rPr>
          <w:rFonts w:hint="eastAsia" w:ascii="仿宋" w:hAnsi="仿宋" w:eastAsia="仿宋" w:cs="仿宋"/>
          <w:sz w:val="28"/>
          <w:szCs w:val="28"/>
          <w:highlight w:val="none"/>
        </w:rPr>
        <w:t>（1）</w:t>
      </w:r>
      <w:r>
        <w:rPr>
          <w:rFonts w:ascii="仿宋" w:hAnsi="仿宋" w:eastAsia="仿宋" w:cs="仿宋"/>
          <w:sz w:val="28"/>
          <w:szCs w:val="28"/>
          <w:highlight w:val="none"/>
        </w:rPr>
        <w:t>大学英语</w:t>
      </w:r>
      <w:r>
        <w:rPr>
          <w:rFonts w:hint="eastAsia" w:ascii="仿宋" w:hAnsi="仿宋" w:eastAsia="仿宋" w:cs="仿宋"/>
          <w:sz w:val="28"/>
          <w:szCs w:val="28"/>
          <w:highlight w:val="none"/>
        </w:rPr>
        <w:t>四级考试成绩</w:t>
      </w:r>
      <w:r>
        <w:rPr>
          <w:rFonts w:ascii="仿宋" w:hAnsi="仿宋" w:eastAsia="仿宋" w:cs="仿宋"/>
          <w:sz w:val="28"/>
          <w:szCs w:val="28"/>
          <w:highlight w:val="none"/>
        </w:rPr>
        <w:t>≥5</w:t>
      </w:r>
      <w:r>
        <w:rPr>
          <w:rFonts w:hint="eastAsia" w:ascii="仿宋" w:hAnsi="仿宋" w:eastAsia="仿宋" w:cs="仿宋"/>
          <w:sz w:val="28"/>
          <w:szCs w:val="28"/>
          <w:highlight w:val="none"/>
        </w:rPr>
        <w:t>6</w:t>
      </w:r>
      <w:r>
        <w:rPr>
          <w:rFonts w:ascii="仿宋" w:hAnsi="仿宋" w:eastAsia="仿宋" w:cs="仿宋"/>
          <w:sz w:val="28"/>
          <w:szCs w:val="28"/>
          <w:highlight w:val="none"/>
        </w:rPr>
        <w:t>0</w:t>
      </w:r>
      <w:r>
        <w:rPr>
          <w:rFonts w:hint="eastAsia" w:ascii="仿宋" w:hAnsi="仿宋" w:eastAsia="仿宋" w:cs="仿宋"/>
          <w:sz w:val="28"/>
          <w:szCs w:val="28"/>
          <w:highlight w:val="none"/>
        </w:rPr>
        <w:t>，或</w:t>
      </w:r>
      <w:r>
        <w:rPr>
          <w:rFonts w:ascii="仿宋" w:hAnsi="仿宋" w:eastAsia="仿宋" w:cs="仿宋"/>
          <w:sz w:val="28"/>
          <w:szCs w:val="28"/>
          <w:highlight w:val="none"/>
        </w:rPr>
        <w:t>六级考试成绩≥5</w:t>
      </w:r>
      <w:r>
        <w:rPr>
          <w:rFonts w:hint="eastAsia" w:ascii="仿宋" w:hAnsi="仿宋" w:eastAsia="仿宋" w:cs="仿宋"/>
          <w:sz w:val="28"/>
          <w:szCs w:val="28"/>
          <w:highlight w:val="none"/>
        </w:rPr>
        <w:t>2</w:t>
      </w:r>
      <w:r>
        <w:rPr>
          <w:rFonts w:ascii="仿宋" w:hAnsi="仿宋" w:eastAsia="仿宋" w:cs="仿宋"/>
          <w:sz w:val="28"/>
          <w:szCs w:val="28"/>
          <w:highlight w:val="none"/>
        </w:rPr>
        <w:t>0分，</w:t>
      </w:r>
      <w:r>
        <w:rPr>
          <w:rFonts w:hint="eastAsia" w:ascii="仿宋" w:hAnsi="仿宋" w:eastAsia="仿宋" w:cs="仿宋"/>
          <w:sz w:val="28"/>
          <w:szCs w:val="28"/>
          <w:highlight w:val="none"/>
        </w:rPr>
        <w:t>（2）专业英语水平四级通过，（3）</w:t>
      </w:r>
      <w:r>
        <w:rPr>
          <w:rFonts w:ascii="仿宋" w:hAnsi="仿宋" w:eastAsia="仿宋" w:cs="仿宋"/>
          <w:sz w:val="28"/>
          <w:szCs w:val="28"/>
          <w:highlight w:val="none"/>
        </w:rPr>
        <w:t>雅思≥6.</w:t>
      </w:r>
      <w:r>
        <w:rPr>
          <w:rFonts w:hint="eastAsia" w:ascii="仿宋" w:hAnsi="仿宋" w:eastAsia="仿宋" w:cs="仿宋"/>
          <w:sz w:val="28"/>
          <w:szCs w:val="28"/>
          <w:highlight w:val="none"/>
        </w:rPr>
        <w:t>0</w:t>
      </w:r>
      <w:r>
        <w:rPr>
          <w:rFonts w:ascii="仿宋" w:hAnsi="仿宋" w:eastAsia="仿宋" w:cs="仿宋"/>
          <w:sz w:val="28"/>
          <w:szCs w:val="28"/>
          <w:highlight w:val="none"/>
        </w:rPr>
        <w:t>分，</w:t>
      </w:r>
      <w:r>
        <w:rPr>
          <w:rFonts w:hint="eastAsia" w:ascii="仿宋" w:hAnsi="仿宋" w:eastAsia="仿宋" w:cs="仿宋"/>
          <w:sz w:val="28"/>
          <w:szCs w:val="28"/>
          <w:highlight w:val="none"/>
        </w:rPr>
        <w:t>（4）</w:t>
      </w:r>
      <w:r>
        <w:rPr>
          <w:rFonts w:ascii="仿宋" w:hAnsi="仿宋" w:eastAsia="仿宋" w:cs="仿宋"/>
          <w:sz w:val="28"/>
          <w:szCs w:val="28"/>
          <w:highlight w:val="none"/>
        </w:rPr>
        <w:t>托福≥</w:t>
      </w:r>
      <w:r>
        <w:rPr>
          <w:rFonts w:hint="eastAsia" w:ascii="仿宋" w:hAnsi="仿宋" w:eastAsia="仿宋" w:cs="仿宋"/>
          <w:sz w:val="28"/>
          <w:szCs w:val="28"/>
          <w:highlight w:val="none"/>
        </w:rPr>
        <w:t>7</w:t>
      </w:r>
      <w:r>
        <w:rPr>
          <w:rFonts w:ascii="仿宋" w:hAnsi="仿宋" w:eastAsia="仿宋" w:cs="仿宋"/>
          <w:sz w:val="28"/>
          <w:szCs w:val="28"/>
          <w:highlight w:val="none"/>
        </w:rPr>
        <w:t>0分</w:t>
      </w:r>
      <w:r>
        <w:rPr>
          <w:rFonts w:hint="eastAsia" w:ascii="仿宋" w:hAnsi="仿宋" w:eastAsia="仿宋" w:cs="仿宋"/>
          <w:sz w:val="28"/>
          <w:szCs w:val="28"/>
          <w:highlight w:val="none"/>
        </w:rPr>
        <w:t>，（5）其他可以证明具有上述同等英语水平之一的考试成绩。</w:t>
      </w:r>
      <w:r>
        <w:rPr>
          <w:rFonts w:ascii="仿宋" w:hAnsi="仿宋" w:eastAsia="仿宋" w:cs="仿宋"/>
          <w:sz w:val="28"/>
          <w:szCs w:val="28"/>
          <w:highlight w:val="none"/>
        </w:rPr>
        <w:t>对于科研成果突出者，</w:t>
      </w:r>
      <w:r>
        <w:rPr>
          <w:rFonts w:hint="eastAsia" w:ascii="仿宋" w:hAnsi="仿宋" w:eastAsia="仿宋" w:cs="仿宋"/>
          <w:sz w:val="28"/>
          <w:szCs w:val="28"/>
          <w:highlight w:val="none"/>
        </w:rPr>
        <w:t>英</w:t>
      </w:r>
      <w:r>
        <w:rPr>
          <w:rFonts w:ascii="仿宋" w:hAnsi="仿宋" w:eastAsia="仿宋" w:cs="仿宋"/>
          <w:sz w:val="28"/>
          <w:szCs w:val="28"/>
          <w:highlight w:val="none"/>
        </w:rPr>
        <w:t>语要求可适当放宽。</w:t>
      </w:r>
    </w:p>
    <w:p w14:paraId="4BD88B33">
      <w:pPr>
        <w:ind w:firstLine="560"/>
        <w:rPr>
          <w:highlight w:val="yellow"/>
        </w:rPr>
      </w:pPr>
      <w:r>
        <w:rPr>
          <w:rFonts w:ascii="仿宋" w:hAnsi="仿宋" w:eastAsia="仿宋" w:cs="仿宋"/>
          <w:sz w:val="28"/>
          <w:szCs w:val="28"/>
          <w:highlight w:val="none"/>
        </w:rPr>
        <w:t>第八条 学院鼓励在经济学</w:t>
      </w:r>
      <w:r>
        <w:rPr>
          <w:rFonts w:hint="eastAsia" w:ascii="仿宋" w:hAnsi="仿宋" w:eastAsia="仿宋" w:cs="仿宋"/>
          <w:sz w:val="28"/>
          <w:szCs w:val="28"/>
          <w:highlight w:val="none"/>
        </w:rPr>
        <w:t>（含金融学、国际经济与贸易、精算学、数字经济学、金融工程、金融科技等）</w:t>
      </w:r>
      <w:r>
        <w:rPr>
          <w:rFonts w:ascii="仿宋" w:hAnsi="仿宋" w:eastAsia="仿宋" w:cs="仿宋"/>
          <w:sz w:val="28"/>
          <w:szCs w:val="28"/>
          <w:highlight w:val="none"/>
        </w:rPr>
        <w:t>、</w:t>
      </w:r>
      <w:r>
        <w:rPr>
          <w:rFonts w:hint="eastAsia" w:ascii="仿宋" w:hAnsi="仿宋" w:eastAsia="仿宋" w:cs="仿宋"/>
          <w:sz w:val="28"/>
          <w:szCs w:val="28"/>
          <w:highlight w:val="none"/>
        </w:rPr>
        <w:t>管理学、</w:t>
      </w:r>
      <w:r>
        <w:rPr>
          <w:rFonts w:ascii="仿宋" w:hAnsi="仿宋" w:eastAsia="仿宋" w:cs="仿宋"/>
          <w:sz w:val="28"/>
          <w:szCs w:val="28"/>
          <w:highlight w:val="none"/>
        </w:rPr>
        <w:t>统计学、数学、计算机科学</w:t>
      </w:r>
      <w:r>
        <w:rPr>
          <w:rFonts w:hint="eastAsia" w:ascii="仿宋" w:hAnsi="仿宋" w:eastAsia="仿宋" w:cs="仿宋"/>
          <w:sz w:val="28"/>
          <w:szCs w:val="28"/>
          <w:highlight w:val="none"/>
        </w:rPr>
        <w:t>、政治学、区域国别学、全球治理</w:t>
      </w:r>
      <w:r>
        <w:rPr>
          <w:rFonts w:ascii="仿宋" w:hAnsi="仿宋" w:eastAsia="仿宋" w:cs="仿宋"/>
          <w:sz w:val="28"/>
          <w:szCs w:val="28"/>
          <w:highlight w:val="none"/>
        </w:rPr>
        <w:t>等相关</w:t>
      </w:r>
      <w:r>
        <w:rPr>
          <w:rFonts w:hint="eastAsia" w:ascii="仿宋" w:hAnsi="仿宋" w:eastAsia="仿宋" w:cs="仿宋"/>
          <w:sz w:val="28"/>
          <w:szCs w:val="28"/>
          <w:highlight w:val="none"/>
        </w:rPr>
        <w:t>交叉学科专业</w:t>
      </w:r>
      <w:r>
        <w:rPr>
          <w:rFonts w:ascii="仿宋" w:hAnsi="仿宋" w:eastAsia="仿宋" w:cs="仿宋"/>
          <w:sz w:val="28"/>
          <w:szCs w:val="28"/>
          <w:highlight w:val="none"/>
        </w:rPr>
        <w:t>领域有突出学术表现</w:t>
      </w:r>
      <w:r>
        <w:rPr>
          <w:rFonts w:hint="eastAsia" w:ascii="仿宋" w:hAnsi="仿宋" w:eastAsia="仿宋" w:cs="仿宋"/>
          <w:sz w:val="28"/>
          <w:szCs w:val="28"/>
          <w:highlight w:val="none"/>
        </w:rPr>
        <w:t>，对科研有浓厚兴趣的</w:t>
      </w:r>
      <w:r>
        <w:rPr>
          <w:rFonts w:ascii="仿宋" w:hAnsi="仿宋" w:eastAsia="仿宋" w:cs="仿宋"/>
          <w:sz w:val="28"/>
          <w:szCs w:val="28"/>
          <w:highlight w:val="none"/>
        </w:rPr>
        <w:t>学生申请。</w:t>
      </w:r>
    </w:p>
    <w:p w14:paraId="1D47861C">
      <w:pPr>
        <w:jc w:val="center"/>
      </w:pPr>
      <w:r>
        <w:rPr>
          <w:rFonts w:ascii="仿宋" w:hAnsi="仿宋" w:eastAsia="仿宋" w:cs="仿宋"/>
          <w:b/>
          <w:bCs/>
          <w:sz w:val="28"/>
          <w:szCs w:val="28"/>
        </w:rPr>
        <w:t>第四章 选拔程序与方式</w:t>
      </w:r>
    </w:p>
    <w:p w14:paraId="79D31005">
      <w:pPr>
        <w:ind w:firstLine="560"/>
      </w:pPr>
      <w:r>
        <w:rPr>
          <w:rFonts w:ascii="仿宋" w:hAnsi="仿宋" w:eastAsia="仿宋" w:cs="仿宋"/>
          <w:sz w:val="28"/>
          <w:szCs w:val="28"/>
        </w:rPr>
        <w:t>第九条 直博生选拔每年按照教育部</w:t>
      </w:r>
      <w:r>
        <w:rPr>
          <w:rFonts w:hint="eastAsia" w:ascii="仿宋" w:hAnsi="仿宋" w:eastAsia="仿宋" w:cs="仿宋"/>
          <w:sz w:val="28"/>
          <w:szCs w:val="28"/>
        </w:rPr>
        <w:t>和学校的相关</w:t>
      </w:r>
      <w:r>
        <w:rPr>
          <w:rFonts w:ascii="仿宋" w:hAnsi="仿宋" w:eastAsia="仿宋" w:cs="仿宋"/>
          <w:sz w:val="28"/>
          <w:szCs w:val="28"/>
        </w:rPr>
        <w:t>文件要求</w:t>
      </w:r>
      <w:r>
        <w:rPr>
          <w:rFonts w:hint="eastAsia" w:ascii="仿宋" w:hAnsi="仿宋" w:eastAsia="仿宋" w:cs="仿宋"/>
          <w:sz w:val="28"/>
          <w:szCs w:val="28"/>
        </w:rPr>
        <w:t>，</w:t>
      </w:r>
      <w:r>
        <w:rPr>
          <w:rFonts w:ascii="仿宋" w:hAnsi="仿宋" w:eastAsia="仿宋" w:cs="仿宋"/>
          <w:sz w:val="28"/>
          <w:szCs w:val="28"/>
        </w:rPr>
        <w:t>与</w:t>
      </w:r>
      <w:r>
        <w:rPr>
          <w:rFonts w:hint="eastAsia" w:ascii="仿宋" w:hAnsi="仿宋" w:eastAsia="仿宋" w:cs="仿宋"/>
          <w:sz w:val="28"/>
          <w:szCs w:val="28"/>
        </w:rPr>
        <w:t>硕士研究生</w:t>
      </w:r>
      <w:r>
        <w:rPr>
          <w:rFonts w:ascii="仿宋" w:hAnsi="仿宋" w:eastAsia="仿宋" w:cs="仿宋"/>
          <w:sz w:val="28"/>
          <w:szCs w:val="28"/>
        </w:rPr>
        <w:t>推免工作统一进行。</w:t>
      </w:r>
    </w:p>
    <w:p w14:paraId="22DB660E">
      <w:pPr>
        <w:ind w:firstLine="560"/>
      </w:pPr>
      <w:r>
        <w:rPr>
          <w:rFonts w:ascii="仿宋" w:hAnsi="仿宋" w:eastAsia="仿宋" w:cs="仿宋"/>
          <w:sz w:val="28"/>
          <w:szCs w:val="28"/>
        </w:rPr>
        <w:t>第十条 选拔程序包含：报名申请、材料审核、院系考核、学校审批、统一公示五个环节。</w:t>
      </w:r>
    </w:p>
    <w:p w14:paraId="38266E34">
      <w:pPr>
        <w:ind w:firstLine="560"/>
      </w:pPr>
      <w:r>
        <w:rPr>
          <w:rFonts w:ascii="仿宋" w:hAnsi="仿宋" w:eastAsia="仿宋" w:cs="仿宋"/>
          <w:sz w:val="28"/>
          <w:szCs w:val="28"/>
        </w:rPr>
        <w:t>（一）报名申请</w:t>
      </w:r>
    </w:p>
    <w:p w14:paraId="7CAD2268">
      <w:pPr>
        <w:ind w:firstLine="560"/>
        <w:rPr>
          <w:highlight w:val="none"/>
        </w:rPr>
      </w:pPr>
      <w:r>
        <w:rPr>
          <w:rFonts w:ascii="仿宋" w:hAnsi="仿宋" w:eastAsia="仿宋" w:cs="仿宋"/>
          <w:sz w:val="28"/>
          <w:szCs w:val="28"/>
        </w:rPr>
        <w:t>申请者须在规定时间内登录学校推免生报名系统进行预报名，并将以下</w:t>
      </w:r>
      <w:r>
        <w:rPr>
          <w:rFonts w:ascii="仿宋" w:hAnsi="仿宋" w:eastAsia="仿宋" w:cs="仿宋"/>
          <w:sz w:val="28"/>
          <w:szCs w:val="28"/>
          <w:highlight w:val="none"/>
        </w:rPr>
        <w:t>申请材料提交至学院指定邮箱：</w:t>
      </w:r>
    </w:p>
    <w:p w14:paraId="362BE8E5">
      <w:pPr>
        <w:ind w:firstLine="560"/>
        <w:rPr>
          <w:highlight w:val="none"/>
        </w:rPr>
      </w:pPr>
      <w:r>
        <w:rPr>
          <w:rFonts w:ascii="仿宋" w:hAnsi="仿宋" w:eastAsia="仿宋" w:cs="仿宋"/>
          <w:sz w:val="28"/>
          <w:szCs w:val="28"/>
          <w:highlight w:val="none"/>
        </w:rPr>
        <w:t>1. 《上海外国语大学国际金融贸易学院直博生申请表》；</w:t>
      </w:r>
    </w:p>
    <w:p w14:paraId="041754EF">
      <w:pPr>
        <w:ind w:firstLine="560"/>
        <w:rPr>
          <w:highlight w:val="none"/>
        </w:rPr>
      </w:pPr>
      <w:r>
        <w:rPr>
          <w:rFonts w:ascii="仿宋" w:hAnsi="仿宋" w:eastAsia="仿宋" w:cs="仿宋"/>
          <w:sz w:val="28"/>
          <w:szCs w:val="28"/>
          <w:highlight w:val="none"/>
        </w:rPr>
        <w:t>2. 本科阶段成绩单及成绩排名证明（须加盖学校教务部门公章）；</w:t>
      </w:r>
    </w:p>
    <w:p w14:paraId="65CBA3A6">
      <w:pPr>
        <w:ind w:firstLine="560"/>
        <w:rPr>
          <w:highlight w:val="none"/>
        </w:rPr>
      </w:pPr>
      <w:r>
        <w:rPr>
          <w:rFonts w:ascii="仿宋" w:hAnsi="仿宋" w:eastAsia="仿宋" w:cs="仿宋"/>
          <w:sz w:val="28"/>
          <w:szCs w:val="28"/>
          <w:highlight w:val="none"/>
        </w:rPr>
        <w:t>3. 推免资格证明（可后续补充）；</w:t>
      </w:r>
    </w:p>
    <w:p w14:paraId="1AED1E3C">
      <w:pPr>
        <w:ind w:firstLine="560"/>
        <w:rPr>
          <w:rFonts w:hint="eastAsia"/>
          <w:highlight w:val="none"/>
        </w:rPr>
      </w:pPr>
      <w:r>
        <w:rPr>
          <w:rFonts w:ascii="仿宋" w:hAnsi="仿宋" w:eastAsia="仿宋" w:cs="仿宋"/>
          <w:sz w:val="28"/>
          <w:szCs w:val="28"/>
          <w:highlight w:val="none"/>
        </w:rPr>
        <w:t>4. 拟攻读博士学位的研究计划书（</w:t>
      </w:r>
      <w:r>
        <w:rPr>
          <w:rFonts w:hint="eastAsia" w:ascii="仿宋" w:hAnsi="仿宋" w:eastAsia="仿宋" w:cs="仿宋"/>
          <w:sz w:val="28"/>
          <w:szCs w:val="28"/>
          <w:highlight w:val="none"/>
        </w:rPr>
        <w:t>2</w:t>
      </w:r>
      <w:r>
        <w:rPr>
          <w:rFonts w:ascii="仿宋" w:hAnsi="仿宋" w:eastAsia="仿宋" w:cs="仿宋"/>
          <w:sz w:val="28"/>
          <w:szCs w:val="28"/>
          <w:highlight w:val="none"/>
        </w:rPr>
        <w:t>000字以上，应包含选题</w:t>
      </w:r>
      <w:r>
        <w:rPr>
          <w:rFonts w:hint="eastAsia" w:ascii="仿宋" w:hAnsi="仿宋" w:eastAsia="仿宋" w:cs="仿宋"/>
          <w:sz w:val="28"/>
          <w:szCs w:val="28"/>
          <w:highlight w:val="none"/>
        </w:rPr>
        <w:t>及意义</w:t>
      </w:r>
      <w:r>
        <w:rPr>
          <w:rFonts w:ascii="仿宋" w:hAnsi="仿宋" w:eastAsia="仿宋" w:cs="仿宋"/>
          <w:sz w:val="28"/>
          <w:szCs w:val="28"/>
          <w:highlight w:val="none"/>
        </w:rPr>
        <w:t>、文献综述、研究思路与方法、研究计划等）；</w:t>
      </w:r>
    </w:p>
    <w:p w14:paraId="6F095754">
      <w:pPr>
        <w:ind w:firstLine="560"/>
        <w:rPr>
          <w:highlight w:val="none"/>
        </w:rPr>
      </w:pPr>
      <w:r>
        <w:rPr>
          <w:rFonts w:hint="eastAsia" w:ascii="仿宋" w:hAnsi="仿宋" w:eastAsia="仿宋" w:cs="仿宋"/>
          <w:sz w:val="28"/>
          <w:szCs w:val="28"/>
          <w:highlight w:val="none"/>
        </w:rPr>
        <w:t>5</w:t>
      </w:r>
      <w:r>
        <w:rPr>
          <w:rFonts w:ascii="仿宋" w:hAnsi="仿宋" w:eastAsia="仿宋" w:cs="仿宋"/>
          <w:sz w:val="28"/>
          <w:szCs w:val="28"/>
          <w:highlight w:val="none"/>
        </w:rPr>
        <w:t>. 外语水平证明材料；</w:t>
      </w:r>
    </w:p>
    <w:p w14:paraId="663ABD8C">
      <w:pPr>
        <w:ind w:firstLine="560"/>
        <w:rPr>
          <w:rFonts w:hint="eastAsia"/>
          <w:highlight w:val="none"/>
        </w:rPr>
      </w:pPr>
      <w:r>
        <w:rPr>
          <w:rFonts w:hint="eastAsia" w:ascii="仿宋" w:hAnsi="仿宋" w:eastAsia="仿宋" w:cs="仿宋"/>
          <w:sz w:val="28"/>
          <w:szCs w:val="28"/>
          <w:highlight w:val="none"/>
        </w:rPr>
        <w:t>6</w:t>
      </w:r>
      <w:r>
        <w:rPr>
          <w:rFonts w:ascii="仿宋" w:hAnsi="仿宋" w:eastAsia="仿宋" w:cs="仿宋"/>
          <w:sz w:val="28"/>
          <w:szCs w:val="28"/>
          <w:highlight w:val="none"/>
        </w:rPr>
        <w:t>. 两封与报考学科相关的正高级职称专家推荐信</w:t>
      </w:r>
      <w:r>
        <w:rPr>
          <w:rFonts w:hint="eastAsia" w:ascii="仿宋" w:hAnsi="仿宋" w:eastAsia="仿宋" w:cs="仿宋"/>
          <w:sz w:val="28"/>
          <w:szCs w:val="28"/>
          <w:highlight w:val="none"/>
        </w:rPr>
        <w:t>，其中一封推荐信须为本院具有博士生指导资格的教师提供。</w:t>
      </w:r>
    </w:p>
    <w:p w14:paraId="2AC8E040">
      <w:pPr>
        <w:ind w:firstLine="560"/>
        <w:rPr>
          <w:rFonts w:ascii="仿宋" w:hAnsi="仿宋" w:eastAsia="仿宋" w:cs="仿宋"/>
          <w:sz w:val="28"/>
          <w:szCs w:val="28"/>
          <w:highlight w:val="none"/>
        </w:rPr>
      </w:pPr>
      <w:r>
        <w:rPr>
          <w:rFonts w:hint="eastAsia" w:ascii="仿宋" w:hAnsi="仿宋" w:eastAsia="仿宋" w:cs="仿宋"/>
          <w:sz w:val="28"/>
          <w:szCs w:val="28"/>
          <w:highlight w:val="none"/>
        </w:rPr>
        <w:t>7</w:t>
      </w:r>
      <w:r>
        <w:rPr>
          <w:rFonts w:ascii="仿宋" w:hAnsi="仿宋" w:eastAsia="仿宋" w:cs="仿宋"/>
          <w:sz w:val="28"/>
          <w:szCs w:val="28"/>
          <w:highlight w:val="none"/>
        </w:rPr>
        <w:t xml:space="preserve">. </w:t>
      </w:r>
      <w:r>
        <w:rPr>
          <w:rFonts w:hint="eastAsia" w:ascii="仿宋" w:hAnsi="仿宋" w:eastAsia="仿宋" w:cs="仿宋"/>
          <w:sz w:val="28"/>
          <w:szCs w:val="28"/>
          <w:highlight w:val="none"/>
        </w:rPr>
        <w:t>校级以上</w:t>
      </w:r>
      <w:r>
        <w:rPr>
          <w:rFonts w:ascii="仿宋" w:hAnsi="仿宋" w:eastAsia="仿宋" w:cs="仿宋"/>
          <w:sz w:val="28"/>
          <w:szCs w:val="28"/>
          <w:highlight w:val="none"/>
        </w:rPr>
        <w:t>获奖证书</w:t>
      </w:r>
      <w:r>
        <w:rPr>
          <w:rFonts w:hint="eastAsia" w:ascii="仿宋" w:hAnsi="仿宋" w:eastAsia="仿宋" w:cs="仿宋"/>
          <w:sz w:val="28"/>
          <w:szCs w:val="28"/>
          <w:highlight w:val="none"/>
        </w:rPr>
        <w:t>；</w:t>
      </w:r>
    </w:p>
    <w:p w14:paraId="4B88575D">
      <w:pPr>
        <w:ind w:firstLine="560"/>
        <w:rPr>
          <w:rFonts w:ascii="仿宋" w:hAnsi="仿宋" w:eastAsia="仿宋" w:cs="仿宋"/>
          <w:sz w:val="28"/>
          <w:szCs w:val="28"/>
          <w:highlight w:val="none"/>
        </w:rPr>
      </w:pPr>
      <w:r>
        <w:rPr>
          <w:rFonts w:hint="eastAsia" w:ascii="仿宋" w:hAnsi="仿宋" w:eastAsia="仿宋" w:cs="仿宋"/>
          <w:sz w:val="28"/>
          <w:szCs w:val="28"/>
          <w:highlight w:val="none"/>
        </w:rPr>
        <w:t>8. 能证明科研水平的相关材料（正式发表或投稿的工作论文、</w:t>
      </w:r>
      <w:r>
        <w:rPr>
          <w:rFonts w:ascii="仿宋" w:hAnsi="仿宋" w:eastAsia="仿宋" w:cs="仿宋"/>
          <w:sz w:val="28"/>
          <w:szCs w:val="28"/>
          <w:highlight w:val="none"/>
        </w:rPr>
        <w:t>专著、专利等）复印件</w:t>
      </w:r>
      <w:r>
        <w:rPr>
          <w:rFonts w:hint="eastAsia" w:ascii="仿宋" w:hAnsi="仿宋" w:eastAsia="仿宋" w:cs="仿宋"/>
          <w:sz w:val="28"/>
          <w:szCs w:val="28"/>
          <w:highlight w:val="none"/>
        </w:rPr>
        <w:t>；</w:t>
      </w:r>
    </w:p>
    <w:p w14:paraId="0971AC1B">
      <w:pPr>
        <w:ind w:firstLine="560"/>
        <w:rPr>
          <w:rFonts w:ascii="仿宋" w:hAnsi="仿宋" w:eastAsia="仿宋" w:cs="仿宋"/>
          <w:sz w:val="28"/>
          <w:szCs w:val="28"/>
          <w:highlight w:val="none"/>
        </w:rPr>
      </w:pPr>
      <w:r>
        <w:rPr>
          <w:rFonts w:ascii="仿宋" w:hAnsi="仿宋" w:eastAsia="仿宋" w:cs="仿宋"/>
          <w:sz w:val="28"/>
          <w:szCs w:val="28"/>
          <w:highlight w:val="none"/>
        </w:rPr>
        <w:t>9. 学院要求的其他材料。</w:t>
      </w:r>
    </w:p>
    <w:p w14:paraId="04230E2B">
      <w:pPr>
        <w:ind w:firstLine="560"/>
        <w:rPr>
          <w:rFonts w:hint="eastAsia"/>
          <w:highlight w:val="none"/>
        </w:rPr>
      </w:pPr>
      <w:r>
        <w:rPr>
          <w:rFonts w:hint="eastAsia" w:ascii="仿宋" w:hAnsi="仿宋" w:eastAsia="仿宋" w:cs="仿宋"/>
          <w:sz w:val="28"/>
          <w:szCs w:val="28"/>
          <w:highlight w:val="none"/>
        </w:rPr>
        <w:t>上述第1-6项为必须提交材料；第7-8项为可选材料；第9项根据学院要求以当年的招生简章为准。</w:t>
      </w:r>
    </w:p>
    <w:p w14:paraId="4E9D1A08">
      <w:pPr>
        <w:ind w:firstLine="560"/>
        <w:rPr>
          <w:highlight w:val="none"/>
        </w:rPr>
      </w:pPr>
      <w:r>
        <w:rPr>
          <w:rFonts w:ascii="仿宋" w:hAnsi="仿宋" w:eastAsia="仿宋" w:cs="仿宋"/>
          <w:sz w:val="28"/>
          <w:szCs w:val="28"/>
          <w:highlight w:val="none"/>
        </w:rPr>
        <w:t>（二）材料审核</w:t>
      </w:r>
    </w:p>
    <w:p w14:paraId="4DD7ABD4">
      <w:pPr>
        <w:ind w:firstLine="560"/>
      </w:pPr>
      <w:r>
        <w:rPr>
          <w:rFonts w:ascii="仿宋" w:hAnsi="仿宋" w:eastAsia="仿宋" w:cs="仿宋"/>
          <w:sz w:val="28"/>
          <w:szCs w:val="28"/>
          <w:highlight w:val="none"/>
        </w:rPr>
        <w:t>学院招生工作小组组织不少于3名学科专家，对申请材料进行审核，重点考查学生的学业基础、科研潜力和研究计划的学术价值。根据审核结果确定准考名单，在学院网站公示</w:t>
      </w:r>
      <w:r>
        <w:rPr>
          <w:rFonts w:ascii="仿宋" w:hAnsi="仿宋" w:eastAsia="仿宋" w:cs="仿宋"/>
          <w:sz w:val="28"/>
          <w:szCs w:val="28"/>
        </w:rPr>
        <w:t>后报送研究生院。</w:t>
      </w:r>
    </w:p>
    <w:p w14:paraId="077384B9">
      <w:pPr>
        <w:ind w:firstLine="560"/>
      </w:pPr>
      <w:r>
        <w:rPr>
          <w:rFonts w:ascii="仿宋" w:hAnsi="仿宋" w:eastAsia="仿宋" w:cs="仿宋"/>
          <w:sz w:val="28"/>
          <w:szCs w:val="28"/>
        </w:rPr>
        <w:t>（三）院系考核</w:t>
      </w:r>
    </w:p>
    <w:p w14:paraId="01C81F4C">
      <w:pPr>
        <w:ind w:firstLine="560"/>
        <w:rPr>
          <w:rFonts w:hint="eastAsia" w:ascii="仿宋" w:hAnsi="仿宋" w:eastAsia="仿宋" w:cs="仿宋"/>
          <w:sz w:val="28"/>
          <w:szCs w:val="28"/>
        </w:rPr>
      </w:pPr>
      <w:r>
        <w:rPr>
          <w:rFonts w:hint="eastAsia" w:ascii="仿宋" w:hAnsi="仿宋" w:eastAsia="仿宋" w:cs="仿宋"/>
          <w:sz w:val="28"/>
          <w:szCs w:val="28"/>
        </w:rPr>
        <w:t xml:space="preserve">1. </w:t>
      </w:r>
      <w:r>
        <w:rPr>
          <w:rFonts w:ascii="仿宋" w:hAnsi="仿宋" w:eastAsia="仿宋" w:cs="仿宋"/>
          <w:sz w:val="28"/>
          <w:szCs w:val="28"/>
        </w:rPr>
        <w:t>考核</w:t>
      </w:r>
      <w:r>
        <w:rPr>
          <w:rFonts w:hint="eastAsia" w:ascii="仿宋" w:hAnsi="仿宋" w:eastAsia="仿宋" w:cs="仿宋"/>
          <w:sz w:val="28"/>
          <w:szCs w:val="28"/>
        </w:rPr>
        <w:t>包括</w:t>
      </w:r>
      <w:r>
        <w:rPr>
          <w:rFonts w:ascii="仿宋" w:hAnsi="仿宋" w:eastAsia="仿宋" w:cs="仿宋"/>
          <w:sz w:val="28"/>
          <w:szCs w:val="28"/>
        </w:rPr>
        <w:t>笔试</w:t>
      </w:r>
      <w:r>
        <w:rPr>
          <w:rFonts w:hint="eastAsia" w:ascii="仿宋" w:hAnsi="仿宋" w:eastAsia="仿宋" w:cs="仿宋"/>
          <w:sz w:val="28"/>
          <w:szCs w:val="28"/>
        </w:rPr>
        <w:t>、</w:t>
      </w:r>
      <w:r>
        <w:rPr>
          <w:rFonts w:ascii="仿宋" w:hAnsi="仿宋" w:eastAsia="仿宋" w:cs="仿宋"/>
          <w:sz w:val="28"/>
          <w:szCs w:val="28"/>
        </w:rPr>
        <w:t>面试</w:t>
      </w:r>
      <w:r>
        <w:rPr>
          <w:rFonts w:hint="eastAsia" w:ascii="仿宋" w:hAnsi="仿宋" w:eastAsia="仿宋" w:cs="仿宋"/>
          <w:sz w:val="28"/>
          <w:szCs w:val="28"/>
        </w:rPr>
        <w:t>、政审三个环节</w:t>
      </w:r>
      <w:r>
        <w:rPr>
          <w:rFonts w:ascii="仿宋" w:hAnsi="仿宋" w:eastAsia="仿宋" w:cs="仿宋"/>
          <w:sz w:val="28"/>
          <w:szCs w:val="28"/>
        </w:rPr>
        <w:t>。</w:t>
      </w:r>
      <w:r>
        <w:rPr>
          <w:rFonts w:hint="eastAsia" w:ascii="仿宋" w:hAnsi="仿宋" w:eastAsia="仿宋" w:cs="仿宋"/>
          <w:sz w:val="28"/>
          <w:szCs w:val="28"/>
        </w:rPr>
        <w:t>笔试和面试满分均为100分，所占比例均为50%；在笔试和面试成绩均合格的情况下，按复试总成绩由高到低进行录取。</w:t>
      </w:r>
    </w:p>
    <w:p w14:paraId="56E9374E">
      <w:pPr>
        <w:ind w:firstLine="560"/>
        <w:rPr>
          <w:rFonts w:hint="eastAsia" w:ascii="仿宋" w:hAnsi="仿宋" w:eastAsia="仿宋" w:cs="仿宋"/>
          <w:sz w:val="28"/>
          <w:szCs w:val="28"/>
        </w:rPr>
      </w:pPr>
      <w:r>
        <w:rPr>
          <w:rFonts w:hint="eastAsia" w:ascii="仿宋" w:hAnsi="仿宋" w:eastAsia="仿宋" w:cs="仿宋"/>
          <w:sz w:val="28"/>
          <w:szCs w:val="28"/>
        </w:rPr>
        <w:t>2. 专业笔试或专业面试成绩不及格者（60分以下），不予录取。</w:t>
      </w:r>
    </w:p>
    <w:p w14:paraId="3523822B">
      <w:pPr>
        <w:ind w:firstLine="560"/>
        <w:rPr>
          <w:rFonts w:hint="eastAsia" w:ascii="仿宋" w:hAnsi="仿宋" w:eastAsia="仿宋" w:cs="仿宋"/>
          <w:sz w:val="28"/>
          <w:szCs w:val="28"/>
        </w:rPr>
      </w:pPr>
      <w:r>
        <w:rPr>
          <w:rFonts w:hint="eastAsia" w:ascii="仿宋" w:hAnsi="仿宋" w:eastAsia="仿宋" w:cs="仿宋"/>
          <w:sz w:val="28"/>
          <w:szCs w:val="28"/>
        </w:rPr>
        <w:t>3. 思想政治素质和品德考核不合格者不予录取。</w:t>
      </w:r>
    </w:p>
    <w:p w14:paraId="5D874911">
      <w:pPr>
        <w:ind w:firstLine="560"/>
      </w:pPr>
      <w:r>
        <w:rPr>
          <w:rFonts w:ascii="仿宋" w:hAnsi="仿宋" w:eastAsia="仿宋" w:cs="仿宋"/>
          <w:sz w:val="28"/>
          <w:szCs w:val="28"/>
        </w:rPr>
        <w:t>（四）学校审批</w:t>
      </w:r>
    </w:p>
    <w:p w14:paraId="4AB89778">
      <w:pPr>
        <w:ind w:firstLine="560"/>
      </w:pPr>
      <w:r>
        <w:rPr>
          <w:rFonts w:ascii="仿宋" w:hAnsi="仿宋" w:eastAsia="仿宋" w:cs="仿宋"/>
          <w:sz w:val="28"/>
          <w:szCs w:val="28"/>
        </w:rPr>
        <w:t>学院将考核通过名单及材料报送研究生院复核，报校研究生招生领导小组审批。</w:t>
      </w:r>
    </w:p>
    <w:p w14:paraId="5F5583AC">
      <w:pPr>
        <w:ind w:firstLine="560"/>
      </w:pPr>
      <w:r>
        <w:rPr>
          <w:rFonts w:ascii="仿宋" w:hAnsi="仿宋" w:eastAsia="仿宋" w:cs="仿宋"/>
          <w:sz w:val="28"/>
          <w:szCs w:val="28"/>
        </w:rPr>
        <w:t>（五）统一公示</w:t>
      </w:r>
    </w:p>
    <w:p w14:paraId="2314843A">
      <w:pPr>
        <w:ind w:firstLine="560"/>
      </w:pPr>
      <w:r>
        <w:rPr>
          <w:rFonts w:ascii="仿宋" w:hAnsi="仿宋" w:eastAsia="仿宋" w:cs="仿宋"/>
          <w:sz w:val="28"/>
          <w:szCs w:val="28"/>
        </w:rPr>
        <w:t>经审批通过的拟录取名单在研究生院网站公示不少于10个工作日，未经公示不得录取。</w:t>
      </w:r>
    </w:p>
    <w:p w14:paraId="6AA4BA12">
      <w:pPr>
        <w:jc w:val="center"/>
      </w:pPr>
      <w:r>
        <w:rPr>
          <w:rFonts w:ascii="仿宋" w:hAnsi="仿宋" w:eastAsia="仿宋" w:cs="仿宋"/>
          <w:b/>
          <w:bCs/>
          <w:sz w:val="28"/>
          <w:szCs w:val="28"/>
        </w:rPr>
        <w:t>第五章 选拔要求</w:t>
      </w:r>
    </w:p>
    <w:p w14:paraId="27CF1314">
      <w:pPr>
        <w:ind w:firstLine="560"/>
      </w:pPr>
      <w:r>
        <w:rPr>
          <w:rFonts w:ascii="仿宋" w:hAnsi="仿宋" w:eastAsia="仿宋" w:cs="仿宋"/>
          <w:sz w:val="28"/>
          <w:szCs w:val="28"/>
        </w:rPr>
        <w:t>第十一条 学院直博生招生工作实行信息公开制度，接受学校招生监察工作小组和社会监督。</w:t>
      </w:r>
    </w:p>
    <w:p w14:paraId="3B95EFC4">
      <w:pPr>
        <w:ind w:firstLine="560"/>
      </w:pPr>
      <w:r>
        <w:rPr>
          <w:rFonts w:ascii="仿宋" w:hAnsi="仿宋" w:eastAsia="仿宋" w:cs="仿宋"/>
          <w:sz w:val="28"/>
          <w:szCs w:val="28"/>
        </w:rPr>
        <w:t>第十二条 考核原始材料由学院存档备查，留存期为7年。</w:t>
      </w:r>
    </w:p>
    <w:p w14:paraId="744BB088">
      <w:pPr>
        <w:ind w:firstLine="560"/>
      </w:pPr>
      <w:r>
        <w:rPr>
          <w:rFonts w:ascii="仿宋" w:hAnsi="仿宋" w:eastAsia="仿宋" w:cs="仿宋"/>
          <w:sz w:val="28"/>
          <w:szCs w:val="28"/>
        </w:rPr>
        <w:t>第十三条 申请者须保证全部申请材料的真实性。提供虚假材料或存在学术不端等违规行为的，一经查实，取消录取资格或学籍；招生工作人员存在违规行为的，按学校有关规定严肃处理。</w:t>
      </w:r>
    </w:p>
    <w:p w14:paraId="4974012B">
      <w:pPr>
        <w:jc w:val="center"/>
      </w:pPr>
      <w:r>
        <w:rPr>
          <w:rFonts w:ascii="仿宋" w:hAnsi="仿宋" w:eastAsia="仿宋" w:cs="仿宋"/>
          <w:b/>
          <w:bCs/>
          <w:sz w:val="28"/>
          <w:szCs w:val="28"/>
        </w:rPr>
        <w:t>第六章 培养管理</w:t>
      </w:r>
    </w:p>
    <w:p w14:paraId="1C75A0B6">
      <w:pPr>
        <w:ind w:firstLine="560"/>
        <w:rPr>
          <w:rFonts w:eastAsia="仿宋"/>
        </w:rPr>
      </w:pPr>
      <w:r>
        <w:rPr>
          <w:rFonts w:ascii="仿宋" w:hAnsi="仿宋" w:eastAsia="仿宋" w:cs="仿宋"/>
          <w:sz w:val="28"/>
          <w:szCs w:val="28"/>
        </w:rPr>
        <w:t>第十四条 直博生基准学制为5年，入学后取得博士生学籍，享受博士生待遇</w:t>
      </w:r>
      <w:r>
        <w:rPr>
          <w:rFonts w:hint="eastAsia" w:ascii="仿宋" w:hAnsi="仿宋" w:eastAsia="仿宋" w:cs="仿宋"/>
          <w:sz w:val="28"/>
          <w:szCs w:val="28"/>
        </w:rPr>
        <w:t>，并确定指导老师</w:t>
      </w:r>
      <w:r>
        <w:rPr>
          <w:rFonts w:ascii="仿宋" w:hAnsi="仿宋" w:eastAsia="仿宋" w:cs="仿宋"/>
          <w:sz w:val="28"/>
          <w:szCs w:val="28"/>
        </w:rPr>
        <w:t>。经</w:t>
      </w:r>
      <w:r>
        <w:rPr>
          <w:rFonts w:hint="eastAsia" w:ascii="仿宋" w:hAnsi="仿宋" w:eastAsia="仿宋" w:cs="仿宋"/>
          <w:sz w:val="28"/>
          <w:szCs w:val="28"/>
        </w:rPr>
        <w:t>学生本人申请，导师及学院</w:t>
      </w:r>
      <w:r>
        <w:rPr>
          <w:rFonts w:ascii="仿宋" w:hAnsi="仿宋" w:eastAsia="仿宋" w:cs="仿宋"/>
          <w:sz w:val="28"/>
          <w:szCs w:val="28"/>
        </w:rPr>
        <w:t>同意，可延长学习年限，</w:t>
      </w:r>
      <w:r>
        <w:rPr>
          <w:rFonts w:hint="eastAsia" w:ascii="仿宋" w:hAnsi="仿宋" w:eastAsia="仿宋" w:cs="仿宋"/>
          <w:sz w:val="28"/>
          <w:szCs w:val="28"/>
        </w:rPr>
        <w:t>但</w:t>
      </w:r>
      <w:r>
        <w:rPr>
          <w:rFonts w:ascii="仿宋" w:hAnsi="仿宋" w:eastAsia="仿宋" w:cs="仿宋"/>
          <w:sz w:val="28"/>
          <w:szCs w:val="28"/>
        </w:rPr>
        <w:t>最长不超过7年</w:t>
      </w:r>
      <w:r>
        <w:rPr>
          <w:rFonts w:hint="eastAsia" w:ascii="仿宋" w:hAnsi="仿宋" w:eastAsia="仿宋" w:cs="仿宋"/>
          <w:sz w:val="28"/>
          <w:szCs w:val="28"/>
        </w:rPr>
        <w:t>，延长期内不得享受学业奖学金和助学金等相关待遇。参照学籍管理相应条款规定，直博生可申请提前毕业，但至多提前一年。</w:t>
      </w:r>
    </w:p>
    <w:p w14:paraId="61D67011">
      <w:pPr>
        <w:ind w:firstLine="560"/>
      </w:pPr>
      <w:r>
        <w:rPr>
          <w:rFonts w:ascii="仿宋" w:hAnsi="仿宋" w:eastAsia="仿宋" w:cs="仿宋"/>
          <w:sz w:val="28"/>
          <w:szCs w:val="28"/>
        </w:rPr>
        <w:t>第十五条 直博生须按照培养方案</w:t>
      </w:r>
      <w:r>
        <w:rPr>
          <w:rFonts w:hint="eastAsia" w:ascii="仿宋" w:hAnsi="仿宋" w:eastAsia="仿宋" w:cs="仿宋"/>
          <w:sz w:val="28"/>
          <w:szCs w:val="28"/>
        </w:rPr>
        <w:t>要求</w:t>
      </w:r>
      <w:r>
        <w:rPr>
          <w:rFonts w:ascii="仿宋" w:hAnsi="仿宋" w:eastAsia="仿宋" w:cs="仿宋"/>
          <w:sz w:val="28"/>
          <w:szCs w:val="28"/>
        </w:rPr>
        <w:t>修读课程并完成必修环节。</w:t>
      </w:r>
      <w:r>
        <w:rPr>
          <w:rFonts w:hint="eastAsia" w:ascii="仿宋" w:hAnsi="仿宋" w:eastAsia="仿宋" w:cs="仿宋"/>
          <w:sz w:val="28"/>
          <w:szCs w:val="28"/>
        </w:rPr>
        <w:t>本院的</w:t>
      </w:r>
      <w:r>
        <w:rPr>
          <w:rFonts w:ascii="仿宋" w:hAnsi="仿宋" w:eastAsia="仿宋" w:cs="仿宋"/>
          <w:sz w:val="28"/>
          <w:szCs w:val="28"/>
        </w:rPr>
        <w:t>直博生可在导师指导下，</w:t>
      </w:r>
      <w:r>
        <w:rPr>
          <w:rFonts w:hint="eastAsia" w:ascii="仿宋" w:hAnsi="仿宋" w:eastAsia="仿宋" w:cs="仿宋"/>
          <w:sz w:val="28"/>
          <w:szCs w:val="28"/>
        </w:rPr>
        <w:t>可</w:t>
      </w:r>
      <w:r>
        <w:rPr>
          <w:rFonts w:ascii="仿宋" w:hAnsi="仿宋" w:eastAsia="仿宋" w:cs="仿宋"/>
          <w:sz w:val="28"/>
          <w:szCs w:val="28"/>
        </w:rPr>
        <w:t>于本科第四学年提前选修部分博士生课程并进入研究课题。跨学科报考者须</w:t>
      </w:r>
      <w:r>
        <w:rPr>
          <w:rFonts w:hint="eastAsia" w:ascii="仿宋" w:hAnsi="仿宋" w:eastAsia="仿宋" w:cs="仿宋"/>
          <w:sz w:val="28"/>
          <w:szCs w:val="28"/>
        </w:rPr>
        <w:t>在导师指导下，</w:t>
      </w:r>
      <w:r>
        <w:rPr>
          <w:rFonts w:ascii="仿宋" w:hAnsi="仿宋" w:eastAsia="仿宋" w:cs="仿宋"/>
          <w:sz w:val="28"/>
          <w:szCs w:val="28"/>
        </w:rPr>
        <w:t>补修相关硕士阶段课程，</w:t>
      </w:r>
      <w:r>
        <w:rPr>
          <w:rFonts w:hint="eastAsia" w:ascii="仿宋" w:hAnsi="仿宋" w:eastAsia="仿宋" w:cs="仿宋"/>
          <w:sz w:val="28"/>
          <w:szCs w:val="28"/>
        </w:rPr>
        <w:t>补修课程</w:t>
      </w:r>
      <w:r>
        <w:rPr>
          <w:rFonts w:ascii="仿宋" w:hAnsi="仿宋" w:eastAsia="仿宋" w:cs="仿宋"/>
          <w:sz w:val="28"/>
          <w:szCs w:val="28"/>
        </w:rPr>
        <w:t>不计入应修学分。</w:t>
      </w:r>
    </w:p>
    <w:p w14:paraId="40D22D7A">
      <w:pPr>
        <w:ind w:firstLine="560"/>
      </w:pPr>
      <w:r>
        <w:rPr>
          <w:rFonts w:ascii="仿宋" w:hAnsi="仿宋" w:eastAsia="仿宋" w:cs="仿宋"/>
          <w:sz w:val="28"/>
          <w:szCs w:val="28"/>
        </w:rPr>
        <w:t>第十六条 直博生在课程学习结束后须参加学科综合考试，全面考查学术能力与专业素养，合格者方可进入论文开题和研究阶段。</w:t>
      </w:r>
    </w:p>
    <w:p w14:paraId="6EFB8CF6">
      <w:pPr>
        <w:ind w:firstLine="560"/>
      </w:pPr>
      <w:r>
        <w:rPr>
          <w:rFonts w:ascii="仿宋" w:hAnsi="仿宋" w:eastAsia="仿宋" w:cs="仿宋"/>
          <w:sz w:val="28"/>
          <w:szCs w:val="28"/>
        </w:rPr>
        <w:t>第十七条 博士学位申请、科研成果考核、学位论文答辩、国际交流等要求与普通博士研究生相同。</w:t>
      </w:r>
    </w:p>
    <w:p w14:paraId="47FDD37F">
      <w:pPr>
        <w:jc w:val="center"/>
      </w:pPr>
      <w:r>
        <w:rPr>
          <w:rFonts w:ascii="仿宋" w:hAnsi="仿宋" w:eastAsia="仿宋" w:cs="仿宋"/>
          <w:b/>
          <w:bCs/>
          <w:sz w:val="28"/>
          <w:szCs w:val="28"/>
        </w:rPr>
        <w:t>第七章 退出机制</w:t>
      </w:r>
    </w:p>
    <w:p w14:paraId="082DBE3F">
      <w:pPr>
        <w:ind w:firstLine="560"/>
      </w:pPr>
      <w:r>
        <w:rPr>
          <w:rFonts w:ascii="仿宋" w:hAnsi="仿宋" w:eastAsia="仿宋" w:cs="仿宋"/>
          <w:sz w:val="28"/>
          <w:szCs w:val="28"/>
        </w:rPr>
        <w:t>第十八条 直博生在学科综合考试之前，不得申请退出直博项目。</w:t>
      </w:r>
    </w:p>
    <w:p w14:paraId="606609B2">
      <w:pPr>
        <w:ind w:firstLine="560"/>
        <w:rPr>
          <w:rFonts w:ascii="仿宋" w:hAnsi="仿宋" w:eastAsia="仿宋" w:cs="仿宋"/>
          <w:sz w:val="28"/>
          <w:szCs w:val="28"/>
        </w:rPr>
      </w:pPr>
      <w:r>
        <w:rPr>
          <w:rFonts w:ascii="仿宋" w:hAnsi="仿宋" w:eastAsia="仿宋" w:cs="仿宋"/>
          <w:sz w:val="28"/>
          <w:szCs w:val="28"/>
        </w:rPr>
        <w:t>第十九条 未通过学科综合考试的</w:t>
      </w:r>
      <w:r>
        <w:rPr>
          <w:rFonts w:hint="eastAsia" w:ascii="仿宋" w:hAnsi="仿宋" w:eastAsia="仿宋" w:cs="仿宋"/>
          <w:sz w:val="28"/>
          <w:szCs w:val="28"/>
        </w:rPr>
        <w:t>本院</w:t>
      </w:r>
      <w:r>
        <w:rPr>
          <w:rFonts w:ascii="仿宋" w:hAnsi="仿宋" w:eastAsia="仿宋" w:cs="仿宋"/>
          <w:sz w:val="28"/>
          <w:szCs w:val="28"/>
        </w:rPr>
        <w:t>直博生，若尚可作为硕士研究生进行培养的，可在学科综合考试后申请退出直博项目，经导师、院系审核同意，研究生院复核通过后</w:t>
      </w:r>
      <w:r>
        <w:rPr>
          <w:rFonts w:hint="eastAsia" w:ascii="仿宋" w:hAnsi="仿宋" w:eastAsia="仿宋" w:cs="仿宋"/>
          <w:sz w:val="28"/>
          <w:szCs w:val="28"/>
        </w:rPr>
        <w:t>可</w:t>
      </w:r>
      <w:r>
        <w:rPr>
          <w:rFonts w:ascii="仿宋" w:hAnsi="仿宋" w:eastAsia="仿宋" w:cs="仿宋"/>
          <w:sz w:val="28"/>
          <w:szCs w:val="28"/>
        </w:rPr>
        <w:t>退至</w:t>
      </w:r>
      <w:r>
        <w:rPr>
          <w:rFonts w:hint="eastAsia" w:ascii="仿宋" w:hAnsi="仿宋" w:eastAsia="仿宋" w:cs="仿宋"/>
          <w:sz w:val="28"/>
          <w:szCs w:val="28"/>
        </w:rPr>
        <w:t>应用经济学学术型</w:t>
      </w:r>
      <w:r>
        <w:rPr>
          <w:rFonts w:ascii="仿宋" w:hAnsi="仿宋" w:eastAsia="仿宋" w:cs="仿宋"/>
          <w:sz w:val="28"/>
          <w:szCs w:val="28"/>
        </w:rPr>
        <w:t>硕士研究生</w:t>
      </w:r>
      <w:r>
        <w:rPr>
          <w:rFonts w:hint="eastAsia" w:ascii="仿宋" w:hAnsi="仿宋" w:eastAsia="仿宋" w:cs="仿宋"/>
          <w:sz w:val="28"/>
          <w:szCs w:val="28"/>
        </w:rPr>
        <w:t>。</w:t>
      </w:r>
    </w:p>
    <w:p w14:paraId="42BCCEED">
      <w:pPr>
        <w:ind w:firstLine="560"/>
        <w:rPr>
          <w:rFonts w:ascii="仿宋" w:hAnsi="仿宋" w:eastAsia="仿宋" w:cs="仿宋"/>
          <w:sz w:val="28"/>
          <w:szCs w:val="28"/>
        </w:rPr>
      </w:pPr>
      <w:r>
        <w:rPr>
          <w:rFonts w:hint="eastAsia" w:ascii="仿宋" w:hAnsi="仿宋" w:eastAsia="仿宋" w:cs="仿宋"/>
          <w:sz w:val="28"/>
          <w:szCs w:val="28"/>
        </w:rPr>
        <w:t>第二十条 直博生退至应用经济学学术型硕士研究生后，其学制</w:t>
      </w:r>
      <w:r>
        <w:rPr>
          <w:rFonts w:ascii="仿宋" w:hAnsi="仿宋" w:eastAsia="仿宋" w:cs="仿宋"/>
          <w:sz w:val="28"/>
          <w:szCs w:val="28"/>
        </w:rPr>
        <w:t>原则上在</w:t>
      </w:r>
      <w:r>
        <w:rPr>
          <w:rFonts w:hint="eastAsia" w:ascii="仿宋" w:hAnsi="仿宋" w:eastAsia="仿宋" w:cs="仿宋"/>
          <w:sz w:val="28"/>
          <w:szCs w:val="28"/>
        </w:rPr>
        <w:t>学术型</w:t>
      </w:r>
      <w:r>
        <w:rPr>
          <w:rFonts w:ascii="仿宋" w:hAnsi="仿宋" w:eastAsia="仿宋" w:cs="仿宋"/>
          <w:sz w:val="28"/>
          <w:szCs w:val="28"/>
        </w:rPr>
        <w:t>硕士研究生基准修业年限基础上增加一年</w:t>
      </w:r>
      <w:r>
        <w:rPr>
          <w:rFonts w:hint="eastAsia" w:ascii="仿宋" w:hAnsi="仿宋" w:eastAsia="仿宋" w:cs="仿宋"/>
          <w:sz w:val="28"/>
          <w:szCs w:val="28"/>
        </w:rPr>
        <w:t>；在</w:t>
      </w:r>
      <w:r>
        <w:rPr>
          <w:rFonts w:ascii="仿宋" w:hAnsi="仿宋" w:eastAsia="仿宋" w:cs="仿宋"/>
          <w:sz w:val="28"/>
          <w:szCs w:val="28"/>
        </w:rPr>
        <w:t>完成</w:t>
      </w:r>
      <w:r>
        <w:rPr>
          <w:rFonts w:hint="eastAsia" w:ascii="仿宋" w:hAnsi="仿宋" w:eastAsia="仿宋" w:cs="仿宋"/>
          <w:sz w:val="28"/>
          <w:szCs w:val="28"/>
        </w:rPr>
        <w:t>应用经济学学术型</w:t>
      </w:r>
      <w:r>
        <w:rPr>
          <w:rFonts w:ascii="仿宋" w:hAnsi="仿宋" w:eastAsia="仿宋" w:cs="仿宋"/>
          <w:sz w:val="28"/>
          <w:szCs w:val="28"/>
        </w:rPr>
        <w:t>硕士</w:t>
      </w:r>
      <w:r>
        <w:rPr>
          <w:rFonts w:hint="eastAsia" w:ascii="仿宋" w:hAnsi="仿宋" w:eastAsia="仿宋" w:cs="仿宋"/>
          <w:sz w:val="28"/>
          <w:szCs w:val="28"/>
        </w:rPr>
        <w:t>相关</w:t>
      </w:r>
      <w:r>
        <w:rPr>
          <w:rFonts w:ascii="仿宋" w:hAnsi="仿宋" w:eastAsia="仿宋" w:cs="仿宋"/>
          <w:sz w:val="28"/>
          <w:szCs w:val="28"/>
        </w:rPr>
        <w:t>专业培养方案学分要求</w:t>
      </w:r>
      <w:r>
        <w:rPr>
          <w:rFonts w:hint="eastAsia" w:ascii="仿宋" w:hAnsi="仿宋" w:eastAsia="仿宋" w:cs="仿宋"/>
          <w:sz w:val="28"/>
          <w:szCs w:val="28"/>
        </w:rPr>
        <w:t>后</w:t>
      </w:r>
      <w:r>
        <w:rPr>
          <w:rFonts w:ascii="仿宋" w:hAnsi="仿宋" w:eastAsia="仿宋" w:cs="仿宋"/>
          <w:sz w:val="28"/>
          <w:szCs w:val="28"/>
        </w:rPr>
        <w:t>，</w:t>
      </w:r>
      <w:r>
        <w:rPr>
          <w:rFonts w:hint="eastAsia" w:ascii="仿宋" w:hAnsi="仿宋" w:eastAsia="仿宋" w:cs="仿宋"/>
          <w:sz w:val="28"/>
          <w:szCs w:val="28"/>
        </w:rPr>
        <w:t>可</w:t>
      </w:r>
      <w:r>
        <w:rPr>
          <w:rFonts w:ascii="仿宋" w:hAnsi="仿宋" w:eastAsia="仿宋" w:cs="仿宋"/>
          <w:sz w:val="28"/>
          <w:szCs w:val="28"/>
        </w:rPr>
        <w:t>申请硕士学位论文答辩工作。</w:t>
      </w:r>
    </w:p>
    <w:p w14:paraId="5D35D6E7">
      <w:pPr>
        <w:ind w:firstLine="560"/>
      </w:pPr>
      <w:r>
        <w:rPr>
          <w:rFonts w:ascii="仿宋" w:hAnsi="仿宋" w:eastAsia="仿宋" w:cs="仿宋"/>
          <w:sz w:val="28"/>
          <w:szCs w:val="28"/>
        </w:rPr>
        <w:t>第二十</w:t>
      </w:r>
      <w:r>
        <w:rPr>
          <w:rFonts w:hint="eastAsia" w:ascii="仿宋" w:hAnsi="仿宋" w:eastAsia="仿宋" w:cs="仿宋"/>
          <w:sz w:val="28"/>
          <w:szCs w:val="28"/>
        </w:rPr>
        <w:t>一</w:t>
      </w:r>
      <w:r>
        <w:rPr>
          <w:rFonts w:ascii="仿宋" w:hAnsi="仿宋" w:eastAsia="仿宋" w:cs="仿宋"/>
          <w:sz w:val="28"/>
          <w:szCs w:val="28"/>
        </w:rPr>
        <w:t>条 通过学科综合考试的直博生，若因学业或其他原因不能继续攻读博士学位且尚可作为硕士研究生进行培养的，或因学位论文无法达到博士学位要求而能达到硕士学位要求的，可在最长修业年限内申请退出直博项目，经导师、院系审核同意，研究生院复核通过后</w:t>
      </w:r>
      <w:r>
        <w:rPr>
          <w:rFonts w:hint="eastAsia" w:ascii="仿宋" w:hAnsi="仿宋" w:eastAsia="仿宋" w:cs="仿宋"/>
          <w:sz w:val="28"/>
          <w:szCs w:val="28"/>
        </w:rPr>
        <w:t>可</w:t>
      </w:r>
      <w:r>
        <w:rPr>
          <w:rFonts w:ascii="仿宋" w:hAnsi="仿宋" w:eastAsia="仿宋" w:cs="仿宋"/>
          <w:sz w:val="28"/>
          <w:szCs w:val="28"/>
        </w:rPr>
        <w:t>退出至</w:t>
      </w:r>
      <w:r>
        <w:rPr>
          <w:rFonts w:hint="eastAsia" w:ascii="仿宋" w:hAnsi="仿宋" w:eastAsia="仿宋" w:cs="仿宋"/>
          <w:sz w:val="28"/>
          <w:szCs w:val="28"/>
        </w:rPr>
        <w:t>应用经济学学术型</w:t>
      </w:r>
      <w:r>
        <w:rPr>
          <w:rFonts w:ascii="仿宋" w:hAnsi="仿宋" w:eastAsia="仿宋" w:cs="仿宋"/>
          <w:sz w:val="28"/>
          <w:szCs w:val="28"/>
        </w:rPr>
        <w:t>硕士研究生</w:t>
      </w:r>
      <w:r>
        <w:rPr>
          <w:rFonts w:hint="eastAsia" w:ascii="仿宋" w:hAnsi="仿宋" w:eastAsia="仿宋" w:cs="仿宋"/>
          <w:sz w:val="28"/>
          <w:szCs w:val="28"/>
        </w:rPr>
        <w:t>；</w:t>
      </w:r>
      <w:r>
        <w:rPr>
          <w:rFonts w:ascii="仿宋" w:hAnsi="仿宋" w:eastAsia="仿宋" w:cs="仿宋"/>
          <w:sz w:val="28"/>
          <w:szCs w:val="28"/>
        </w:rPr>
        <w:t>完成</w:t>
      </w:r>
      <w:r>
        <w:rPr>
          <w:rFonts w:hint="eastAsia" w:ascii="仿宋" w:hAnsi="仿宋" w:eastAsia="仿宋" w:cs="仿宋"/>
          <w:sz w:val="28"/>
          <w:szCs w:val="28"/>
        </w:rPr>
        <w:t>应用经济学学术型</w:t>
      </w:r>
      <w:r>
        <w:rPr>
          <w:rFonts w:ascii="仿宋" w:hAnsi="仿宋" w:eastAsia="仿宋" w:cs="仿宋"/>
          <w:sz w:val="28"/>
          <w:szCs w:val="28"/>
        </w:rPr>
        <w:t>硕士</w:t>
      </w:r>
      <w:r>
        <w:rPr>
          <w:rFonts w:hint="eastAsia" w:ascii="仿宋" w:hAnsi="仿宋" w:eastAsia="仿宋" w:cs="仿宋"/>
          <w:sz w:val="28"/>
          <w:szCs w:val="28"/>
        </w:rPr>
        <w:t>相关</w:t>
      </w:r>
      <w:r>
        <w:rPr>
          <w:rFonts w:ascii="仿宋" w:hAnsi="仿宋" w:eastAsia="仿宋" w:cs="仿宋"/>
          <w:sz w:val="28"/>
          <w:szCs w:val="28"/>
        </w:rPr>
        <w:t>专业培养方案学分要求，并于退出后一年之内完成硕士学位论文答辩工作。</w:t>
      </w:r>
    </w:p>
    <w:p w14:paraId="24B94FE5">
      <w:pPr>
        <w:ind w:firstLine="560"/>
        <w:rPr>
          <w:rFonts w:hint="eastAsia" w:ascii="仿宋" w:hAnsi="仿宋" w:eastAsia="仿宋" w:cs="仿宋"/>
          <w:sz w:val="28"/>
          <w:szCs w:val="28"/>
        </w:rPr>
      </w:pPr>
      <w:r>
        <w:rPr>
          <w:rFonts w:ascii="仿宋" w:hAnsi="仿宋" w:eastAsia="仿宋" w:cs="仿宋"/>
          <w:sz w:val="28"/>
          <w:szCs w:val="28"/>
        </w:rPr>
        <w:t>第二十</w:t>
      </w:r>
      <w:r>
        <w:rPr>
          <w:rFonts w:hint="eastAsia" w:ascii="仿宋" w:hAnsi="仿宋" w:eastAsia="仿宋" w:cs="仿宋"/>
          <w:sz w:val="28"/>
          <w:szCs w:val="28"/>
        </w:rPr>
        <w:t>二</w:t>
      </w:r>
      <w:r>
        <w:rPr>
          <w:rFonts w:ascii="仿宋" w:hAnsi="仿宋" w:eastAsia="仿宋" w:cs="仿宋"/>
          <w:sz w:val="28"/>
          <w:szCs w:val="28"/>
        </w:rPr>
        <w:t>条</w:t>
      </w:r>
      <w:r>
        <w:rPr>
          <w:rFonts w:hint="eastAsia" w:ascii="仿宋" w:hAnsi="仿宋" w:eastAsia="仿宋" w:cs="仿宋"/>
          <w:sz w:val="28"/>
          <w:szCs w:val="28"/>
        </w:rPr>
        <w:t xml:space="preserve"> 本院的直博生转硕后，可申请学院应用经济学一级学科下的四个二级学科专业之一（金融学、国际贸易学、统计学、涉外经济法学）完成硕士学位，学院将根据学生申请的硕士专业，对照转硕前</w:t>
      </w:r>
      <w:r>
        <w:rPr>
          <w:rFonts w:ascii="仿宋" w:hAnsi="仿宋" w:eastAsia="仿宋" w:cs="仿宋"/>
          <w:sz w:val="28"/>
          <w:szCs w:val="28"/>
        </w:rPr>
        <w:t>已修课程学分</w:t>
      </w:r>
      <w:r>
        <w:rPr>
          <w:rFonts w:hint="eastAsia" w:ascii="仿宋" w:hAnsi="仿宋" w:eastAsia="仿宋" w:cs="仿宋"/>
          <w:sz w:val="28"/>
          <w:szCs w:val="28"/>
        </w:rPr>
        <w:t>和成绩进行学分</w:t>
      </w:r>
      <w:r>
        <w:rPr>
          <w:rFonts w:ascii="仿宋" w:hAnsi="仿宋" w:eastAsia="仿宋" w:cs="仿宋"/>
          <w:sz w:val="28"/>
          <w:szCs w:val="28"/>
        </w:rPr>
        <w:t>认定。</w:t>
      </w:r>
    </w:p>
    <w:p w14:paraId="5195198B">
      <w:pPr>
        <w:ind w:firstLine="560"/>
      </w:pPr>
      <w:r>
        <w:rPr>
          <w:rFonts w:ascii="仿宋" w:hAnsi="仿宋" w:eastAsia="仿宋" w:cs="仿宋"/>
          <w:sz w:val="28"/>
          <w:szCs w:val="28"/>
        </w:rPr>
        <w:t>第二十</w:t>
      </w:r>
      <w:r>
        <w:rPr>
          <w:rFonts w:hint="eastAsia" w:ascii="仿宋" w:hAnsi="仿宋" w:eastAsia="仿宋" w:cs="仿宋"/>
          <w:sz w:val="28"/>
          <w:szCs w:val="28"/>
        </w:rPr>
        <w:t>三</w:t>
      </w:r>
      <w:r>
        <w:rPr>
          <w:rFonts w:ascii="仿宋" w:hAnsi="仿宋" w:eastAsia="仿宋" w:cs="仿宋"/>
          <w:sz w:val="28"/>
          <w:szCs w:val="28"/>
        </w:rPr>
        <w:t>条</w:t>
      </w:r>
      <w:r>
        <w:rPr>
          <w:rFonts w:hint="eastAsia" w:ascii="仿宋" w:hAnsi="仿宋" w:eastAsia="仿宋" w:cs="仿宋"/>
          <w:sz w:val="28"/>
          <w:szCs w:val="28"/>
        </w:rPr>
        <w:t xml:space="preserve"> 已享受博士研究生待遇的直博生，若退出直博项目，</w:t>
      </w:r>
      <w:r>
        <w:rPr>
          <w:rFonts w:ascii="仿宋" w:hAnsi="仿宋" w:eastAsia="仿宋" w:cs="仿宋"/>
          <w:sz w:val="28"/>
          <w:szCs w:val="28"/>
        </w:rPr>
        <w:t>退出后不再享受博士研究生待遇及相关奖励。</w:t>
      </w:r>
    </w:p>
    <w:p w14:paraId="42CB6F22">
      <w:pPr>
        <w:jc w:val="center"/>
      </w:pPr>
      <w:r>
        <w:rPr>
          <w:rFonts w:ascii="仿宋" w:hAnsi="仿宋" w:eastAsia="仿宋" w:cs="仿宋"/>
          <w:b/>
          <w:bCs/>
          <w:sz w:val="28"/>
          <w:szCs w:val="28"/>
        </w:rPr>
        <w:t>第八章 附则</w:t>
      </w:r>
    </w:p>
    <w:p w14:paraId="4ED350EF">
      <w:pPr>
        <w:ind w:firstLine="560" w:firstLineChars="200"/>
        <w:rPr>
          <w:rFonts w:hint="eastAsia" w:ascii="仿宋" w:hAnsi="仿宋" w:eastAsia="仿宋" w:cs="仿宋"/>
          <w:sz w:val="28"/>
          <w:szCs w:val="28"/>
        </w:rPr>
      </w:pPr>
      <w:r>
        <w:rPr>
          <w:rFonts w:ascii="仿宋" w:hAnsi="仿宋" w:eastAsia="仿宋" w:cs="仿宋"/>
          <w:sz w:val="28"/>
          <w:szCs w:val="28"/>
        </w:rPr>
        <w:t>第二十</w:t>
      </w:r>
      <w:r>
        <w:rPr>
          <w:rFonts w:hint="eastAsia" w:ascii="仿宋" w:hAnsi="仿宋" w:eastAsia="仿宋" w:cs="仿宋"/>
          <w:sz w:val="28"/>
          <w:szCs w:val="28"/>
        </w:rPr>
        <w:t>四</w:t>
      </w:r>
      <w:r>
        <w:rPr>
          <w:rFonts w:ascii="仿宋" w:hAnsi="仿宋" w:eastAsia="仿宋" w:cs="仿宋"/>
          <w:sz w:val="28"/>
          <w:szCs w:val="28"/>
        </w:rPr>
        <w:t>条 本实施细则由上海外国语大学国际金融贸易学院招生工作领导小组负责解释。</w:t>
      </w:r>
      <w:r>
        <w:rPr>
          <w:rFonts w:hint="eastAsia" w:ascii="仿宋" w:hAnsi="仿宋" w:eastAsia="仿宋" w:cs="仿宋"/>
          <w:sz w:val="28"/>
          <w:szCs w:val="28"/>
        </w:rPr>
        <w:t>未尽事宜，参照《上海外国语大学优秀应届本科毕业生直接攻读博士学位研究生实施办法（试行）》（上外研〔20</w:t>
      </w:r>
      <w:r>
        <w:rPr>
          <w:rFonts w:ascii="仿宋" w:hAnsi="仿宋" w:eastAsia="仿宋" w:cs="仿宋"/>
          <w:sz w:val="28"/>
          <w:szCs w:val="28"/>
        </w:rPr>
        <w:t>22</w:t>
      </w:r>
      <w:r>
        <w:rPr>
          <w:rFonts w:hint="eastAsia" w:ascii="仿宋" w:hAnsi="仿宋" w:eastAsia="仿宋" w:cs="仿宋"/>
          <w:sz w:val="28"/>
          <w:szCs w:val="28"/>
        </w:rPr>
        <w:t>〕1号）相关要求执行。</w:t>
      </w:r>
    </w:p>
    <w:p w14:paraId="49CD3594">
      <w:pPr>
        <w:ind w:firstLine="560"/>
      </w:pPr>
      <w:r>
        <w:rPr>
          <w:rFonts w:ascii="仿宋" w:hAnsi="仿宋" w:eastAsia="仿宋" w:cs="仿宋"/>
          <w:sz w:val="28"/>
          <w:szCs w:val="28"/>
        </w:rPr>
        <w:t>第二十</w:t>
      </w:r>
      <w:r>
        <w:rPr>
          <w:rFonts w:hint="eastAsia" w:ascii="仿宋" w:hAnsi="仿宋" w:eastAsia="仿宋" w:cs="仿宋"/>
          <w:sz w:val="28"/>
          <w:szCs w:val="28"/>
        </w:rPr>
        <w:t>五</w:t>
      </w:r>
      <w:r>
        <w:rPr>
          <w:rFonts w:ascii="仿宋" w:hAnsi="仿宋" w:eastAsia="仿宋" w:cs="仿宋"/>
          <w:sz w:val="28"/>
          <w:szCs w:val="28"/>
        </w:rPr>
        <w:t>条 本实施细则自发布之日起施行。如遇上级部门政策调整，以上级部门最新规定为准。</w:t>
      </w:r>
    </w:p>
    <w:p w14:paraId="4344F022">
      <w:pPr>
        <w:ind w:firstLine="560"/>
        <w:jc w:val="right"/>
      </w:pPr>
      <w:r>
        <w:rPr>
          <w:rFonts w:ascii="仿宋" w:hAnsi="仿宋" w:eastAsia="仿宋" w:cs="仿宋"/>
          <w:sz w:val="28"/>
          <w:szCs w:val="28"/>
        </w:rPr>
        <w:t>上海外国语大学国际金融贸易学院</w:t>
      </w:r>
    </w:p>
    <w:p w14:paraId="758338D9">
      <w:pPr>
        <w:ind w:firstLine="560"/>
        <w:jc w:val="right"/>
        <w:rPr>
          <w:rFonts w:hint="eastAsia" w:ascii="仿宋" w:hAnsi="仿宋" w:eastAsia="仿宋" w:cs="仿宋"/>
          <w:sz w:val="28"/>
          <w:szCs w:val="28"/>
        </w:rPr>
      </w:pPr>
      <w:r>
        <w:rPr>
          <w:rFonts w:hint="eastAsia" w:ascii="仿宋" w:hAnsi="仿宋" w:eastAsia="仿宋" w:cs="仿宋"/>
          <w:sz w:val="28"/>
          <w:szCs w:val="28"/>
        </w:rPr>
        <w:t>2026</w:t>
      </w:r>
      <w:r>
        <w:rPr>
          <w:rFonts w:ascii="仿宋" w:hAnsi="仿宋" w:eastAsia="仿宋" w:cs="仿宋"/>
          <w:sz w:val="28"/>
          <w:szCs w:val="28"/>
        </w:rPr>
        <w:t>年</w:t>
      </w:r>
      <w:r>
        <w:rPr>
          <w:rFonts w:hint="eastAsia" w:ascii="仿宋" w:hAnsi="仿宋" w:eastAsia="仿宋" w:cs="仿宋"/>
          <w:sz w:val="28"/>
          <w:szCs w:val="28"/>
        </w:rPr>
        <w:t>8</w:t>
      </w:r>
      <w:r>
        <w:rPr>
          <w:rFonts w:ascii="仿宋" w:hAnsi="仿宋" w:eastAsia="仿宋" w:cs="仿宋"/>
          <w:sz w:val="28"/>
          <w:szCs w:val="28"/>
        </w:rPr>
        <w:t>月</w:t>
      </w:r>
      <w:r>
        <w:rPr>
          <w:rFonts w:hint="eastAsia" w:ascii="仿宋" w:hAnsi="仿宋" w:eastAsia="仿宋" w:cs="仿宋"/>
          <w:sz w:val="28"/>
          <w:szCs w:val="28"/>
        </w:rPr>
        <w:t>20</w:t>
      </w:r>
      <w:r>
        <w:rPr>
          <w:rFonts w:ascii="仿宋" w:hAnsi="仿宋" w:eastAsia="仿宋" w:cs="仿宋"/>
          <w:sz w:val="28"/>
          <w:szCs w:val="28"/>
        </w:rPr>
        <w:t>日</w:t>
      </w:r>
    </w:p>
    <w:p w14:paraId="74FCCCA1">
      <w:pPr>
        <w:ind w:firstLine="560"/>
        <w:jc w:val="right"/>
        <w:rPr>
          <w:rFonts w:hint="eastAsia" w:ascii="仿宋" w:hAnsi="仿宋" w:eastAsia="仿宋" w:cs="仿宋"/>
          <w:sz w:val="28"/>
          <w:szCs w:val="28"/>
        </w:rPr>
      </w:pPr>
    </w:p>
    <w:p w14:paraId="255ACFD9">
      <w:pPr>
        <w:ind w:firstLine="560"/>
        <w:jc w:val="right"/>
        <w:rPr>
          <w:rFonts w:hint="eastAsia" w:ascii="仿宋" w:hAnsi="仿宋" w:eastAsia="仿宋" w:cs="仿宋"/>
          <w:sz w:val="28"/>
          <w:szCs w:val="28"/>
        </w:rPr>
      </w:pPr>
    </w:p>
    <w:p w14:paraId="11EA14A3">
      <w:pPr>
        <w:jc w:val="left"/>
        <w:rPr>
          <w:rFonts w:hint="eastAsia" w:ascii="仿宋" w:hAnsi="仿宋" w:eastAsia="仿宋" w:cs="仿宋"/>
          <w:sz w:val="28"/>
          <w:szCs w:val="28"/>
        </w:rPr>
      </w:pPr>
      <w:bookmarkStart w:id="0" w:name="_GoBack"/>
      <w:bookmarkEnd w:id="0"/>
    </w:p>
    <w:sectPr>
      <w:footerReference r:id="rId3" w:type="default"/>
      <w:pgSz w:w="11906" w:h="16838"/>
      <w:pgMar w:top="1440" w:right="1700" w:bottom="1440" w:left="156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42DF3">
    <w:pPr>
      <w:jc w:val="center"/>
    </w:pPr>
    <w:r>
      <w:rPr>
        <w:rFonts w:ascii="Times New Roman" w:hAnsi="Times New Roman" w:eastAsia="Times New Roman" w:cs="Times New Roman"/>
        <w:szCs w:val="21"/>
      </w:rPr>
      <w:t xml:space="preserve">第 </w:t>
    </w:r>
    <w:r>
      <w:rPr>
        <w:rFonts w:ascii="Times New Roman" w:hAnsi="Times New Roman" w:eastAsia="Times New Roman" w:cs="Times New Roman"/>
        <w:szCs w:val="21"/>
      </w:rPr>
      <w:fldChar w:fldCharType="begin"/>
    </w:r>
    <w:r>
      <w:rPr>
        <w:rFonts w:ascii="Times New Roman" w:hAnsi="Times New Roman" w:eastAsia="Times New Roman" w:cs="Times New Roman"/>
        <w:szCs w:val="21"/>
      </w:rPr>
      <w:instrText xml:space="preserve">PAGE</w:instrText>
    </w:r>
    <w:r>
      <w:rPr>
        <w:rFonts w:ascii="Times New Roman" w:hAnsi="Times New Roman" w:eastAsia="Times New Roman" w:cs="Times New Roman"/>
        <w:szCs w:val="21"/>
      </w:rPr>
      <w:fldChar w:fldCharType="separate"/>
    </w:r>
    <w:r>
      <w:rPr>
        <w:rFonts w:ascii="Times New Roman" w:hAnsi="Times New Roman" w:eastAsia="Times New Roman" w:cs="Times New Roman"/>
        <w:szCs w:val="21"/>
      </w:rPr>
      <w:t>1</w:t>
    </w:r>
    <w:r>
      <w:rPr>
        <w:rFonts w:ascii="Times New Roman" w:hAnsi="Times New Roman" w:eastAsia="Times New Roman" w:cs="Times New Roman"/>
        <w:szCs w:val="21"/>
      </w:rPr>
      <w:fldChar w:fldCharType="end"/>
    </w:r>
    <w:r>
      <w:rPr>
        <w:rFonts w:ascii="Times New Roman" w:hAnsi="Times New Roman" w:eastAsia="Times New Roman" w:cs="Times New Roman"/>
        <w:szCs w:val="21"/>
      </w:rPr>
      <w:t xml:space="preserve"> 页/共 </w:t>
    </w:r>
    <w:r>
      <w:rPr>
        <w:rFonts w:ascii="Times New Roman" w:hAnsi="Times New Roman" w:eastAsia="Times New Roman" w:cs="Times New Roman"/>
        <w:szCs w:val="21"/>
      </w:rPr>
      <w:fldChar w:fldCharType="begin"/>
    </w:r>
    <w:r>
      <w:rPr>
        <w:rFonts w:ascii="Times New Roman" w:hAnsi="Times New Roman" w:eastAsia="Times New Roman" w:cs="Times New Roman"/>
        <w:szCs w:val="21"/>
      </w:rPr>
      <w:instrText xml:space="preserve">NUMPAGES</w:instrText>
    </w:r>
    <w:r>
      <w:rPr>
        <w:rFonts w:ascii="Times New Roman" w:hAnsi="Times New Roman" w:eastAsia="Times New Roman" w:cs="Times New Roman"/>
        <w:szCs w:val="21"/>
      </w:rPr>
      <w:fldChar w:fldCharType="separate"/>
    </w:r>
    <w:r>
      <w:rPr>
        <w:rFonts w:ascii="Times New Roman" w:hAnsi="Times New Roman" w:eastAsia="Times New Roman" w:cs="Times New Roman"/>
        <w:szCs w:val="21"/>
      </w:rPr>
      <w:t>2</w:t>
    </w:r>
    <w:r>
      <w:rPr>
        <w:rFonts w:ascii="Times New Roman" w:hAnsi="Times New Roman" w:eastAsia="Times New Roman" w:cs="Times New Roman"/>
        <w:szCs w:val="21"/>
      </w:rPr>
      <w:fldChar w:fldCharType="end"/>
    </w:r>
    <w:r>
      <w:rPr>
        <w:rFonts w:ascii="Times New Roman" w:hAnsi="Times New Roman" w:eastAsia="Times New Roman" w:cs="Times New Roman"/>
        <w:szCs w:val="21"/>
      </w:rPr>
      <w:t xml:space="preserve"> 页</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C99"/>
    <w:rsid w:val="00153F90"/>
    <w:rsid w:val="001C773B"/>
    <w:rsid w:val="001D059B"/>
    <w:rsid w:val="002B7DF5"/>
    <w:rsid w:val="003222B9"/>
    <w:rsid w:val="00337485"/>
    <w:rsid w:val="003B1D0E"/>
    <w:rsid w:val="0050494E"/>
    <w:rsid w:val="006C52C5"/>
    <w:rsid w:val="00813BA0"/>
    <w:rsid w:val="00850BAC"/>
    <w:rsid w:val="008578F1"/>
    <w:rsid w:val="00871C99"/>
    <w:rsid w:val="009305ED"/>
    <w:rsid w:val="00AD1F49"/>
    <w:rsid w:val="00AD2C6E"/>
    <w:rsid w:val="00AF6099"/>
    <w:rsid w:val="00B038F0"/>
    <w:rsid w:val="00D234DD"/>
    <w:rsid w:val="00E56867"/>
    <w:rsid w:val="00EE513C"/>
    <w:rsid w:val="00F21E24"/>
    <w:rsid w:val="00F8735A"/>
    <w:rsid w:val="458D266B"/>
    <w:rsid w:val="4A8D1846"/>
    <w:rsid w:val="4AD52D14"/>
    <w:rsid w:val="575D0FA3"/>
    <w:rsid w:val="700C13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lang w:val="en-US" w:eastAsia="zh-CN" w:bidi="ar-SA"/>
    </w:rPr>
  </w:style>
  <w:style w:type="paragraph" w:styleId="2">
    <w:name w:val="heading 1"/>
    <w:next w:val="1"/>
    <w:qFormat/>
    <w:uiPriority w:val="0"/>
    <w:pPr>
      <w:outlineLvl w:val="0"/>
    </w:pPr>
    <w:rPr>
      <w:rFonts w:asciiTheme="minorHAnsi" w:hAnsiTheme="minorHAnsi" w:eastAsiaTheme="minorEastAsia" w:cstheme="minorBidi"/>
      <w:color w:val="2E74B5"/>
      <w:sz w:val="32"/>
      <w:szCs w:val="32"/>
      <w:lang w:val="en-US" w:eastAsia="zh-CN" w:bidi="ar-SA"/>
    </w:rPr>
  </w:style>
  <w:style w:type="paragraph" w:styleId="3">
    <w:name w:val="heading 2"/>
    <w:next w:val="1"/>
    <w:qFormat/>
    <w:uiPriority w:val="0"/>
    <w:pPr>
      <w:outlineLvl w:val="1"/>
    </w:pPr>
    <w:rPr>
      <w:rFonts w:asciiTheme="minorHAnsi" w:hAnsiTheme="minorHAnsi" w:eastAsiaTheme="minorEastAsia" w:cstheme="minorBidi"/>
      <w:color w:val="2E74B5"/>
      <w:sz w:val="26"/>
      <w:szCs w:val="26"/>
      <w:lang w:val="en-US" w:eastAsia="zh-CN" w:bidi="ar-SA"/>
    </w:rPr>
  </w:style>
  <w:style w:type="paragraph" w:styleId="4">
    <w:name w:val="heading 3"/>
    <w:next w:val="1"/>
    <w:qFormat/>
    <w:uiPriority w:val="0"/>
    <w:pPr>
      <w:outlineLvl w:val="2"/>
    </w:pPr>
    <w:rPr>
      <w:rFonts w:asciiTheme="minorHAnsi" w:hAnsiTheme="minorHAnsi" w:eastAsiaTheme="minorEastAsia" w:cstheme="minorBidi"/>
      <w:color w:val="1F4D78"/>
      <w:sz w:val="24"/>
      <w:szCs w:val="24"/>
      <w:lang w:val="en-US" w:eastAsia="zh-CN" w:bidi="ar-SA"/>
    </w:rPr>
  </w:style>
  <w:style w:type="paragraph" w:styleId="5">
    <w:name w:val="heading 4"/>
    <w:next w:val="1"/>
    <w:qFormat/>
    <w:uiPriority w:val="0"/>
    <w:pPr>
      <w:outlineLvl w:val="3"/>
    </w:pPr>
    <w:rPr>
      <w:rFonts w:asciiTheme="minorHAnsi" w:hAnsiTheme="minorHAnsi" w:eastAsiaTheme="minorEastAsia" w:cstheme="minorBidi"/>
      <w:i/>
      <w:iCs/>
      <w:color w:val="2E74B5"/>
      <w:sz w:val="21"/>
      <w:szCs w:val="22"/>
      <w:lang w:val="en-US" w:eastAsia="zh-CN" w:bidi="ar-SA"/>
    </w:rPr>
  </w:style>
  <w:style w:type="paragraph" w:styleId="6">
    <w:name w:val="heading 5"/>
    <w:next w:val="1"/>
    <w:qFormat/>
    <w:uiPriority w:val="0"/>
    <w:pPr>
      <w:outlineLvl w:val="4"/>
    </w:pPr>
    <w:rPr>
      <w:rFonts w:asciiTheme="minorHAnsi" w:hAnsiTheme="minorHAnsi" w:eastAsiaTheme="minorEastAsia" w:cstheme="minorBidi"/>
      <w:color w:val="2E74B5"/>
      <w:sz w:val="21"/>
      <w:szCs w:val="22"/>
      <w:lang w:val="en-US" w:eastAsia="zh-CN" w:bidi="ar-SA"/>
    </w:rPr>
  </w:style>
  <w:style w:type="paragraph" w:styleId="7">
    <w:name w:val="heading 6"/>
    <w:next w:val="1"/>
    <w:qFormat/>
    <w:uiPriority w:val="0"/>
    <w:pPr>
      <w:outlineLvl w:val="5"/>
    </w:pPr>
    <w:rPr>
      <w:rFonts w:asciiTheme="minorHAnsi" w:hAnsiTheme="minorHAnsi" w:eastAsiaTheme="minorEastAsia" w:cstheme="minorBidi"/>
      <w:color w:val="1F4D78"/>
      <w:sz w:val="21"/>
      <w:szCs w:val="22"/>
      <w:lang w:val="en-US" w:eastAsia="zh-CN" w:bidi="ar-SA"/>
    </w:rPr>
  </w:style>
  <w:style w:type="character" w:default="1" w:styleId="14">
    <w:name w:val="Default Paragraph Font"/>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8">
    <w:name w:val="Body Text"/>
    <w:basedOn w:val="1"/>
    <w:semiHidden/>
    <w:qFormat/>
    <w:uiPriority w:val="0"/>
    <w:rPr>
      <w:rFonts w:ascii="宋体" w:hAnsi="宋体" w:eastAsia="宋体" w:cs="宋体"/>
      <w:sz w:val="22"/>
      <w:lang w:eastAsia="en-US"/>
    </w:rPr>
  </w:style>
  <w:style w:type="paragraph" w:styleId="9">
    <w:name w:val="endnote text"/>
    <w:link w:val="21"/>
    <w:semiHidden/>
    <w:unhideWhenUsed/>
    <w:qFormat/>
    <w:uiPriority w:val="99"/>
    <w:rPr>
      <w:rFonts w:asciiTheme="minorHAnsi" w:hAnsiTheme="minorHAnsi" w:eastAsiaTheme="minorEastAsia" w:cstheme="minorBidi"/>
      <w:lang w:val="en-US" w:eastAsia="zh-CN" w:bidi="ar-SA"/>
    </w:rPr>
  </w:style>
  <w:style w:type="paragraph" w:styleId="10">
    <w:name w:val="footer"/>
    <w:basedOn w:val="1"/>
    <w:qFormat/>
    <w:uiPriority w:val="99"/>
    <w:pPr>
      <w:tabs>
        <w:tab w:val="center" w:pos="4153"/>
        <w:tab w:val="right" w:pos="8306"/>
      </w:tabs>
      <w:snapToGrid w:val="0"/>
      <w:jc w:val="left"/>
    </w:pPr>
    <w:rPr>
      <w:sz w:val="18"/>
      <w:szCs w:val="18"/>
    </w:rPr>
  </w:style>
  <w:style w:type="paragraph" w:styleId="11">
    <w:name w:val="footnote text"/>
    <w:link w:val="20"/>
    <w:semiHidden/>
    <w:unhideWhenUsed/>
    <w:qFormat/>
    <w:uiPriority w:val="99"/>
    <w:rPr>
      <w:rFonts w:asciiTheme="minorHAnsi" w:hAnsiTheme="minorHAnsi" w:eastAsiaTheme="minorEastAsia" w:cstheme="minorBidi"/>
      <w:lang w:val="en-US" w:eastAsia="zh-CN" w:bidi="ar-SA"/>
    </w:rPr>
  </w:style>
  <w:style w:type="paragraph" w:styleId="12">
    <w:name w:val="Title"/>
    <w:qFormat/>
    <w:uiPriority w:val="0"/>
    <w:rPr>
      <w:rFonts w:asciiTheme="minorHAnsi" w:hAnsiTheme="minorHAnsi" w:eastAsiaTheme="minorEastAsia" w:cstheme="minorBidi"/>
      <w:sz w:val="56"/>
      <w:szCs w:val="56"/>
      <w:lang w:val="en-US" w:eastAsia="zh-CN" w:bidi="ar-SA"/>
    </w:rPr>
  </w:style>
  <w:style w:type="character" w:styleId="15">
    <w:name w:val="Strong"/>
    <w:basedOn w:val="14"/>
    <w:qFormat/>
    <w:uiPriority w:val="0"/>
    <w:rPr>
      <w:b/>
    </w:rPr>
  </w:style>
  <w:style w:type="character" w:styleId="16">
    <w:name w:val="endnote reference"/>
    <w:semiHidden/>
    <w:unhideWhenUsed/>
    <w:qFormat/>
    <w:uiPriority w:val="99"/>
    <w:rPr>
      <w:vertAlign w:val="superscript"/>
    </w:rPr>
  </w:style>
  <w:style w:type="character" w:styleId="17">
    <w:name w:val="Hyperlink"/>
    <w:unhideWhenUsed/>
    <w:qFormat/>
    <w:uiPriority w:val="99"/>
    <w:rPr>
      <w:color w:val="0563C1"/>
      <w:u w:val="single"/>
    </w:rPr>
  </w:style>
  <w:style w:type="character" w:styleId="18">
    <w:name w:val="footnote reference"/>
    <w:semiHidden/>
    <w:unhideWhenUsed/>
    <w:qFormat/>
    <w:uiPriority w:val="99"/>
    <w:rPr>
      <w:vertAlign w:val="superscript"/>
    </w:rPr>
  </w:style>
  <w:style w:type="paragraph" w:styleId="19">
    <w:name w:val="List Paragraph"/>
    <w:qFormat/>
    <w:uiPriority w:val="0"/>
    <w:rPr>
      <w:rFonts w:asciiTheme="minorHAnsi" w:hAnsiTheme="minorHAnsi" w:eastAsiaTheme="minorEastAsia" w:cstheme="minorBidi"/>
      <w:sz w:val="21"/>
      <w:szCs w:val="22"/>
      <w:lang w:val="en-US" w:eastAsia="zh-CN" w:bidi="ar-SA"/>
    </w:rPr>
  </w:style>
  <w:style w:type="character" w:customStyle="1" w:styleId="20">
    <w:name w:val="脚注文本 字符"/>
    <w:link w:val="11"/>
    <w:semiHidden/>
    <w:unhideWhenUsed/>
    <w:qFormat/>
    <w:uiPriority w:val="99"/>
    <w:rPr>
      <w:sz w:val="20"/>
      <w:szCs w:val="20"/>
    </w:rPr>
  </w:style>
  <w:style w:type="character" w:customStyle="1" w:styleId="21">
    <w:name w:val="尾注文本 字符"/>
    <w:link w:val="9"/>
    <w:semiHidden/>
    <w:unhideWhenUsed/>
    <w:qFormat/>
    <w:uiPriority w:val="99"/>
    <w:rPr>
      <w:sz w:val="20"/>
      <w:szCs w:val="20"/>
    </w:rPr>
  </w:style>
  <w:style w:type="paragraph" w:customStyle="1" w:styleId="22">
    <w:name w:val="Table Text"/>
    <w:basedOn w:val="1"/>
    <w:semiHidden/>
    <w:qFormat/>
    <w:uiPriority w:val="0"/>
    <w:rPr>
      <w:rFonts w:ascii="仿宋" w:hAnsi="仿宋" w:eastAsia="仿宋" w:cs="仿宋"/>
      <w:sz w:val="24"/>
      <w:lang w:eastAsia="en-US"/>
    </w:rPr>
  </w:style>
  <w:style w:type="table" w:customStyle="1" w:styleId="2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4145</Words>
  <Characters>4195</Characters>
  <Lines>70</Lines>
  <Paragraphs>19</Paragraphs>
  <TotalTime>86</TotalTime>
  <ScaleCrop>false</ScaleCrop>
  <LinksUpToDate>false</LinksUpToDate>
  <CharactersWithSpaces>4254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2026-06-17T15:43:00Z</dcterms:created>
  <dc:creator>Un-named</dc:creator>
  <cp:lastModifiedBy>WPS_1615346150</cp:lastModifiedBy>
  <dcterms:modified xsi:type="dcterms:W3CDTF">2026-08-26T17:25:19Z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eyJoZGlkIjoiMzliYzBhYTM5MGVlZTQyZWYxZGU3NmNkMjQ4NTk5NzciLCJ1c2VySWQiOiIxMTc0MDQwODE1In0=</vt:lpwstr>
  </property>
  <property fmtid="{D5CDD505-2E9C-101B-9397-08002B2CF9AE}" pid="3" name="KSOProductBuildVer">
    <vt:lpwstr>2052-12.1.0.28043</vt:lpwstr>
  </property>
  <property fmtid="{D5CDD505-2E9C-101B-9397-08002B2CF9AE}" pid="4" name="ICV">
    <vt:lpwstr>78F4CA46513E4BCF9A2480991167D77A_12</vt:lpwstr>
  </property>
</Properties>
</file>